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63B33" w14:textId="77777777" w:rsidR="00776BE9" w:rsidRPr="002F1D1C" w:rsidRDefault="00776BE9" w:rsidP="00776BE9">
      <w:pPr>
        <w:spacing w:before="240" w:line="480" w:lineRule="auto"/>
        <w:jc w:val="center"/>
        <w:rPr>
          <w:rFonts w:ascii="Times New Roman" w:hAnsi="Times New Roman" w:cs="Times New Roman"/>
          <w:sz w:val="26"/>
          <w:szCs w:val="26"/>
        </w:rPr>
      </w:pPr>
    </w:p>
    <w:p w14:paraId="03B9B626" w14:textId="77777777" w:rsidR="00776BE9" w:rsidRPr="002F1D1C" w:rsidRDefault="00776BE9" w:rsidP="00776BE9">
      <w:pPr>
        <w:spacing w:before="240" w:line="480" w:lineRule="auto"/>
        <w:jc w:val="center"/>
        <w:rPr>
          <w:rFonts w:ascii="Times New Roman" w:hAnsi="Times New Roman" w:cs="Times New Roman"/>
          <w:sz w:val="26"/>
          <w:szCs w:val="26"/>
        </w:rPr>
      </w:pPr>
    </w:p>
    <w:p w14:paraId="068D8023" w14:textId="77777777" w:rsidR="005927BC" w:rsidRPr="002F1D1C" w:rsidRDefault="005927BC" w:rsidP="00665898">
      <w:pPr>
        <w:spacing w:before="240" w:after="120" w:line="240" w:lineRule="auto"/>
        <w:jc w:val="center"/>
        <w:rPr>
          <w:rFonts w:ascii="Times New Roman" w:hAnsi="Times New Roman" w:cs="Times New Roman"/>
          <w:sz w:val="26"/>
          <w:szCs w:val="26"/>
        </w:rPr>
      </w:pPr>
      <w:r w:rsidRPr="002F1D1C">
        <w:rPr>
          <w:rFonts w:ascii="Times New Roman" w:hAnsi="Times New Roman" w:cs="Times New Roman"/>
          <w:sz w:val="26"/>
          <w:szCs w:val="26"/>
        </w:rPr>
        <w:t xml:space="preserve">IN THE </w:t>
      </w:r>
      <w:r w:rsidR="001959B6" w:rsidRPr="002F1D1C">
        <w:rPr>
          <w:rFonts w:ascii="Times New Roman" w:hAnsi="Times New Roman" w:cs="Times New Roman"/>
          <w:sz w:val="26"/>
          <w:szCs w:val="26"/>
        </w:rPr>
        <w:t xml:space="preserve">CIRCUIT </w:t>
      </w:r>
      <w:r w:rsidRPr="002F1D1C">
        <w:rPr>
          <w:rFonts w:ascii="Times New Roman" w:hAnsi="Times New Roman" w:cs="Times New Roman"/>
          <w:sz w:val="26"/>
          <w:szCs w:val="26"/>
        </w:rPr>
        <w:t>COURT OF THE STATE OF OREGON</w:t>
      </w:r>
    </w:p>
    <w:p w14:paraId="7D797842" w14:textId="625025CD" w:rsidR="001959B6" w:rsidRPr="002F1D1C" w:rsidRDefault="001959B6" w:rsidP="00665898">
      <w:pPr>
        <w:spacing w:after="120" w:line="240" w:lineRule="auto"/>
        <w:jc w:val="center"/>
        <w:rPr>
          <w:rFonts w:ascii="Times New Roman" w:hAnsi="Times New Roman" w:cs="Times New Roman"/>
          <w:sz w:val="26"/>
          <w:szCs w:val="26"/>
        </w:rPr>
      </w:pPr>
      <w:r w:rsidRPr="002F1D1C">
        <w:rPr>
          <w:rFonts w:ascii="Times New Roman" w:hAnsi="Times New Roman" w:cs="Times New Roman"/>
          <w:sz w:val="26"/>
          <w:szCs w:val="26"/>
        </w:rPr>
        <w:t xml:space="preserve">FOR THE COUNTY OF </w:t>
      </w:r>
      <w:r w:rsidR="00DA1D77" w:rsidRPr="002F1D1C">
        <w:rPr>
          <w:rFonts w:ascii="Times New Roman" w:hAnsi="Times New Roman" w:cs="Times New Roman"/>
          <w:sz w:val="26"/>
          <w:szCs w:val="26"/>
        </w:rPr>
        <w:t>MULTNOMAH</w:t>
      </w:r>
    </w:p>
    <w:tbl>
      <w:tblPr>
        <w:tblW w:w="9360" w:type="dxa"/>
        <w:tblLayout w:type="fixed"/>
        <w:tblCellMar>
          <w:left w:w="0" w:type="dxa"/>
          <w:right w:w="0" w:type="dxa"/>
        </w:tblCellMar>
        <w:tblLook w:val="0000" w:firstRow="0" w:lastRow="0" w:firstColumn="0" w:lastColumn="0" w:noHBand="0" w:noVBand="0"/>
      </w:tblPr>
      <w:tblGrid>
        <w:gridCol w:w="4542"/>
        <w:gridCol w:w="768"/>
        <w:gridCol w:w="4050"/>
      </w:tblGrid>
      <w:tr w:rsidR="005927BC" w:rsidRPr="002F1D1C" w14:paraId="6D138677" w14:textId="77777777" w:rsidTr="00B93E0F">
        <w:tc>
          <w:tcPr>
            <w:tcW w:w="4542" w:type="dxa"/>
            <w:tcBorders>
              <w:bottom w:val="single" w:sz="4" w:space="0" w:color="auto"/>
            </w:tcBorders>
            <w:shd w:val="clear" w:color="auto" w:fill="auto"/>
          </w:tcPr>
          <w:p w14:paraId="380768FF" w14:textId="77777777" w:rsidR="006B1FC2" w:rsidRPr="002F1D1C" w:rsidRDefault="00380737" w:rsidP="006B1FC2">
            <w:pPr>
              <w:spacing w:line="240" w:lineRule="auto"/>
              <w:rPr>
                <w:rFonts w:ascii="Times New Roman" w:hAnsi="Times New Roman" w:cs="Times New Roman"/>
                <w:sz w:val="26"/>
                <w:szCs w:val="26"/>
              </w:rPr>
            </w:pPr>
            <w:bookmarkStart w:id="0" w:name="Parties"/>
            <w:bookmarkEnd w:id="0"/>
            <w:r w:rsidRPr="002F1D1C">
              <w:rPr>
                <w:rFonts w:ascii="Times New Roman" w:hAnsi="Times New Roman" w:cs="Times New Roman"/>
                <w:sz w:val="26"/>
                <w:szCs w:val="26"/>
              </w:rPr>
              <w:t>STATE OF OREGON</w:t>
            </w:r>
            <w:r w:rsidR="006B1FC2" w:rsidRPr="002F1D1C">
              <w:rPr>
                <w:rFonts w:ascii="Times New Roman" w:hAnsi="Times New Roman" w:cs="Times New Roman"/>
                <w:sz w:val="26"/>
                <w:szCs w:val="26"/>
              </w:rPr>
              <w:t>,</w:t>
            </w:r>
          </w:p>
          <w:p w14:paraId="0F53E392" w14:textId="77777777" w:rsidR="00380737" w:rsidRPr="002F1D1C" w:rsidRDefault="00380737" w:rsidP="006B1FC2">
            <w:pPr>
              <w:spacing w:line="240" w:lineRule="auto"/>
              <w:rPr>
                <w:rFonts w:ascii="Times New Roman" w:hAnsi="Times New Roman" w:cs="Times New Roman"/>
                <w:sz w:val="26"/>
                <w:szCs w:val="26"/>
              </w:rPr>
            </w:pPr>
            <w:r w:rsidRPr="002F1D1C">
              <w:rPr>
                <w:rFonts w:ascii="Times New Roman" w:hAnsi="Times New Roman" w:cs="Times New Roman"/>
                <w:sz w:val="26"/>
                <w:szCs w:val="26"/>
              </w:rPr>
              <w:t xml:space="preserve">          </w:t>
            </w:r>
          </w:p>
          <w:p w14:paraId="204DFEDB" w14:textId="77777777" w:rsidR="006B1FC2" w:rsidRPr="002F1D1C" w:rsidRDefault="006B1FC2" w:rsidP="006B1FC2">
            <w:pPr>
              <w:spacing w:line="240" w:lineRule="auto"/>
              <w:rPr>
                <w:rFonts w:ascii="Times New Roman" w:hAnsi="Times New Roman" w:cs="Times New Roman"/>
                <w:sz w:val="26"/>
                <w:szCs w:val="26"/>
              </w:rPr>
            </w:pPr>
            <w:r w:rsidRPr="002F1D1C">
              <w:rPr>
                <w:rFonts w:ascii="Times New Roman" w:hAnsi="Times New Roman" w:cs="Times New Roman"/>
                <w:sz w:val="26"/>
                <w:szCs w:val="26"/>
              </w:rPr>
              <w:tab/>
            </w:r>
            <w:r w:rsidRPr="002F1D1C">
              <w:rPr>
                <w:rFonts w:ascii="Times New Roman" w:hAnsi="Times New Roman" w:cs="Times New Roman"/>
                <w:sz w:val="26"/>
                <w:szCs w:val="26"/>
              </w:rPr>
              <w:tab/>
              <w:t>Plaintiff</w:t>
            </w:r>
            <w:r w:rsidR="00380737" w:rsidRPr="002F1D1C">
              <w:rPr>
                <w:rFonts w:ascii="Times New Roman" w:hAnsi="Times New Roman" w:cs="Times New Roman"/>
                <w:sz w:val="26"/>
                <w:szCs w:val="26"/>
              </w:rPr>
              <w:t>,</w:t>
            </w:r>
          </w:p>
          <w:p w14:paraId="6B36CE7B" w14:textId="77777777" w:rsidR="006B1FC2" w:rsidRPr="002F1D1C" w:rsidRDefault="006B1FC2" w:rsidP="006B1FC2">
            <w:pPr>
              <w:spacing w:line="240" w:lineRule="auto"/>
              <w:rPr>
                <w:rFonts w:ascii="Times New Roman" w:hAnsi="Times New Roman" w:cs="Times New Roman"/>
                <w:sz w:val="26"/>
                <w:szCs w:val="26"/>
              </w:rPr>
            </w:pPr>
          </w:p>
          <w:p w14:paraId="309C23FE" w14:textId="77777777" w:rsidR="006B1FC2" w:rsidRPr="002F1D1C" w:rsidRDefault="00776BE9" w:rsidP="006B1FC2">
            <w:pPr>
              <w:spacing w:line="240" w:lineRule="auto"/>
              <w:rPr>
                <w:rFonts w:ascii="Times New Roman" w:hAnsi="Times New Roman" w:cs="Times New Roman"/>
                <w:sz w:val="26"/>
                <w:szCs w:val="26"/>
              </w:rPr>
            </w:pPr>
            <w:r w:rsidRPr="002F1D1C">
              <w:rPr>
                <w:rFonts w:ascii="Times New Roman" w:hAnsi="Times New Roman" w:cs="Times New Roman"/>
                <w:sz w:val="26"/>
                <w:szCs w:val="26"/>
              </w:rPr>
              <w:tab/>
              <w:t>v</w:t>
            </w:r>
            <w:r w:rsidR="006B1FC2" w:rsidRPr="002F1D1C">
              <w:rPr>
                <w:rFonts w:ascii="Times New Roman" w:hAnsi="Times New Roman" w:cs="Times New Roman"/>
                <w:sz w:val="26"/>
                <w:szCs w:val="26"/>
              </w:rPr>
              <w:t>.</w:t>
            </w:r>
          </w:p>
          <w:p w14:paraId="711DA2E8" w14:textId="77777777" w:rsidR="006B1FC2" w:rsidRPr="002F1D1C" w:rsidRDefault="006B1FC2" w:rsidP="006B1FC2">
            <w:pPr>
              <w:spacing w:line="240" w:lineRule="auto"/>
              <w:rPr>
                <w:rFonts w:ascii="Times New Roman" w:hAnsi="Times New Roman" w:cs="Times New Roman"/>
                <w:sz w:val="26"/>
                <w:szCs w:val="26"/>
              </w:rPr>
            </w:pPr>
          </w:p>
          <w:p w14:paraId="18FFA41B" w14:textId="52CFCCC1" w:rsidR="006B1FC2" w:rsidRPr="002F1D1C" w:rsidRDefault="00DA1D77" w:rsidP="006B1FC2">
            <w:pPr>
              <w:spacing w:line="240" w:lineRule="auto"/>
              <w:rPr>
                <w:rFonts w:ascii="Times New Roman" w:hAnsi="Times New Roman" w:cs="Times New Roman"/>
                <w:sz w:val="26"/>
                <w:szCs w:val="26"/>
              </w:rPr>
            </w:pPr>
            <w:r w:rsidRPr="002F1D1C">
              <w:rPr>
                <w:rFonts w:ascii="Times New Roman" w:hAnsi="Times New Roman" w:cs="Times New Roman"/>
                <w:sz w:val="26"/>
                <w:szCs w:val="26"/>
              </w:rPr>
              <w:t>RYAN MONACO</w:t>
            </w:r>
            <w:r w:rsidR="00380737" w:rsidRPr="002F1D1C">
              <w:rPr>
                <w:rFonts w:ascii="Times New Roman" w:hAnsi="Times New Roman" w:cs="Times New Roman"/>
                <w:sz w:val="26"/>
                <w:szCs w:val="26"/>
              </w:rPr>
              <w:t>,</w:t>
            </w:r>
          </w:p>
          <w:p w14:paraId="2247632C" w14:textId="77777777" w:rsidR="00380737" w:rsidRPr="002F1D1C" w:rsidRDefault="00380737" w:rsidP="006B1FC2">
            <w:pPr>
              <w:spacing w:line="240" w:lineRule="auto"/>
              <w:rPr>
                <w:rFonts w:ascii="Times New Roman" w:hAnsi="Times New Roman" w:cs="Times New Roman"/>
                <w:sz w:val="26"/>
                <w:szCs w:val="26"/>
              </w:rPr>
            </w:pPr>
          </w:p>
          <w:p w14:paraId="27B44DC7" w14:textId="77777777" w:rsidR="005927BC" w:rsidRPr="002F1D1C" w:rsidRDefault="006B1FC2" w:rsidP="00776BE9">
            <w:pPr>
              <w:spacing w:line="240" w:lineRule="auto"/>
              <w:rPr>
                <w:rFonts w:ascii="Times New Roman" w:hAnsi="Times New Roman" w:cs="Times New Roman"/>
                <w:sz w:val="26"/>
                <w:szCs w:val="26"/>
              </w:rPr>
            </w:pPr>
            <w:r w:rsidRPr="002F1D1C">
              <w:rPr>
                <w:rFonts w:ascii="Times New Roman" w:hAnsi="Times New Roman" w:cs="Times New Roman"/>
                <w:sz w:val="26"/>
                <w:szCs w:val="26"/>
              </w:rPr>
              <w:tab/>
            </w:r>
            <w:r w:rsidRPr="002F1D1C">
              <w:rPr>
                <w:rFonts w:ascii="Times New Roman" w:hAnsi="Times New Roman" w:cs="Times New Roman"/>
                <w:sz w:val="26"/>
                <w:szCs w:val="26"/>
              </w:rPr>
              <w:tab/>
              <w:t>Defendant.</w:t>
            </w:r>
          </w:p>
        </w:tc>
        <w:tc>
          <w:tcPr>
            <w:tcW w:w="768" w:type="dxa"/>
            <w:shd w:val="clear" w:color="auto" w:fill="auto"/>
          </w:tcPr>
          <w:p w14:paraId="4B188703"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07004F04"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31E40686"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13DB13C1"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56919B1E"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2AF8BD18"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237B0A7A"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424DAC1C"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38D07415"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28E28CAC" w14:textId="729C4E35" w:rsidR="00B93E0F"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5A0C8750" w14:textId="163B7C40" w:rsidR="00B93E0F" w:rsidRPr="002F1D1C" w:rsidRDefault="00B93E0F"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tc>
        <w:tc>
          <w:tcPr>
            <w:tcW w:w="4050" w:type="dxa"/>
            <w:shd w:val="clear" w:color="auto" w:fill="auto"/>
          </w:tcPr>
          <w:p w14:paraId="2DAFE5B9" w14:textId="77777777" w:rsidR="006B1FC2" w:rsidRPr="002F1D1C" w:rsidRDefault="006B1FC2" w:rsidP="006B1FC2">
            <w:pPr>
              <w:pStyle w:val="SingleSpacing"/>
              <w:rPr>
                <w:rFonts w:ascii="Times New Roman" w:hAnsi="Times New Roman" w:cs="Times New Roman"/>
                <w:sz w:val="26"/>
                <w:szCs w:val="26"/>
              </w:rPr>
            </w:pPr>
            <w:bookmarkStart w:id="1" w:name="CaseNumber"/>
            <w:bookmarkEnd w:id="1"/>
          </w:p>
          <w:p w14:paraId="50B21774" w14:textId="62122A03" w:rsidR="00380737" w:rsidRPr="002F1D1C" w:rsidRDefault="00DA1D77"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Multnomah</w:t>
            </w:r>
            <w:r w:rsidR="006B1FC2" w:rsidRPr="002F1D1C">
              <w:rPr>
                <w:rFonts w:ascii="Times New Roman" w:hAnsi="Times New Roman" w:cs="Times New Roman"/>
                <w:sz w:val="26"/>
                <w:szCs w:val="26"/>
              </w:rPr>
              <w:t xml:space="preserve"> County </w:t>
            </w:r>
          </w:p>
          <w:p w14:paraId="5B3A951B" w14:textId="105A0D82" w:rsidR="006B1FC2" w:rsidRPr="002F1D1C" w:rsidRDefault="00776BE9"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 xml:space="preserve">Circuit Court </w:t>
            </w:r>
            <w:r w:rsidR="006B1FC2" w:rsidRPr="002F1D1C">
              <w:rPr>
                <w:rFonts w:ascii="Times New Roman" w:hAnsi="Times New Roman" w:cs="Times New Roman"/>
                <w:sz w:val="26"/>
                <w:szCs w:val="26"/>
              </w:rPr>
              <w:t xml:space="preserve">No. </w:t>
            </w:r>
            <w:r w:rsidR="00DA1D77" w:rsidRPr="002F1D1C">
              <w:rPr>
                <w:rFonts w:ascii="Times New Roman" w:hAnsi="Times New Roman" w:cs="Times New Roman"/>
                <w:sz w:val="26"/>
                <w:szCs w:val="26"/>
              </w:rPr>
              <w:t>17CR48942</w:t>
            </w:r>
          </w:p>
          <w:p w14:paraId="71771016" w14:textId="77777777" w:rsidR="006B1FC2" w:rsidRPr="002F1D1C" w:rsidRDefault="006B1FC2" w:rsidP="006B1FC2">
            <w:pPr>
              <w:pStyle w:val="SingleSpacing"/>
              <w:rPr>
                <w:rFonts w:ascii="Times New Roman" w:hAnsi="Times New Roman" w:cs="Times New Roman"/>
                <w:sz w:val="26"/>
                <w:szCs w:val="26"/>
              </w:rPr>
            </w:pPr>
          </w:p>
          <w:p w14:paraId="7FB10FAE" w14:textId="77777777" w:rsidR="00D53103" w:rsidRPr="002F1D1C" w:rsidRDefault="00D53103" w:rsidP="006B1FC2">
            <w:pPr>
              <w:pStyle w:val="SingleSpacing"/>
              <w:rPr>
                <w:rFonts w:ascii="Times New Roman" w:hAnsi="Times New Roman" w:cs="Times New Roman"/>
                <w:sz w:val="26"/>
                <w:szCs w:val="26"/>
              </w:rPr>
            </w:pPr>
          </w:p>
          <w:p w14:paraId="6EE35A63" w14:textId="67BC79A5" w:rsidR="005749AC" w:rsidRDefault="00EC7287" w:rsidP="000B1110">
            <w:pPr>
              <w:pStyle w:val="SingleSpacing"/>
              <w:rPr>
                <w:rFonts w:ascii="Times New Roman" w:hAnsi="Times New Roman" w:cs="Times New Roman"/>
                <w:sz w:val="26"/>
                <w:szCs w:val="26"/>
              </w:rPr>
            </w:pPr>
            <w:r w:rsidRPr="002F1D1C">
              <w:rPr>
                <w:rFonts w:ascii="Times New Roman" w:hAnsi="Times New Roman" w:cs="Times New Roman"/>
                <w:sz w:val="26"/>
                <w:szCs w:val="26"/>
              </w:rPr>
              <w:t xml:space="preserve">DEFENDANT’S </w:t>
            </w:r>
            <w:r w:rsidR="00963A3E">
              <w:rPr>
                <w:rFonts w:ascii="Times New Roman" w:hAnsi="Times New Roman" w:cs="Times New Roman"/>
                <w:sz w:val="26"/>
                <w:szCs w:val="26"/>
              </w:rPr>
              <w:t xml:space="preserve">SUPPLEMENTAL </w:t>
            </w:r>
            <w:r w:rsidR="00FD01AB">
              <w:rPr>
                <w:rFonts w:ascii="Times New Roman" w:hAnsi="Times New Roman" w:cs="Times New Roman"/>
                <w:sz w:val="26"/>
                <w:szCs w:val="26"/>
              </w:rPr>
              <w:t>MEMORANDUM</w:t>
            </w:r>
            <w:r w:rsidR="00963A3E">
              <w:rPr>
                <w:rFonts w:ascii="Times New Roman" w:hAnsi="Times New Roman" w:cs="Times New Roman"/>
                <w:sz w:val="26"/>
                <w:szCs w:val="26"/>
              </w:rPr>
              <w:t xml:space="preserve"> ON </w:t>
            </w:r>
            <w:r w:rsidR="000B1110" w:rsidRPr="002F1D1C">
              <w:rPr>
                <w:rFonts w:ascii="Times New Roman" w:hAnsi="Times New Roman" w:cs="Times New Roman"/>
                <w:sz w:val="26"/>
                <w:szCs w:val="26"/>
              </w:rPr>
              <w:t xml:space="preserve">MOTION </w:t>
            </w:r>
          </w:p>
          <w:p w14:paraId="68F692B9" w14:textId="4B9E44E6" w:rsidR="00EC7287" w:rsidRPr="002F1D1C" w:rsidRDefault="000B1110" w:rsidP="000B1110">
            <w:pPr>
              <w:pStyle w:val="SingleSpacing"/>
              <w:rPr>
                <w:rFonts w:ascii="Times New Roman" w:hAnsi="Times New Roman" w:cs="Times New Roman"/>
                <w:sz w:val="26"/>
                <w:szCs w:val="26"/>
              </w:rPr>
            </w:pPr>
            <w:r w:rsidRPr="002F1D1C">
              <w:rPr>
                <w:rFonts w:ascii="Times New Roman" w:hAnsi="Times New Roman" w:cs="Times New Roman"/>
                <w:sz w:val="26"/>
                <w:szCs w:val="26"/>
              </w:rPr>
              <w:t xml:space="preserve">FOR </w:t>
            </w:r>
            <w:r w:rsidR="005749AC">
              <w:rPr>
                <w:rFonts w:ascii="Times New Roman" w:hAnsi="Times New Roman" w:cs="Times New Roman"/>
                <w:sz w:val="26"/>
                <w:szCs w:val="26"/>
              </w:rPr>
              <w:t xml:space="preserve">PRE-TRIAL </w:t>
            </w:r>
            <w:r w:rsidRPr="002F1D1C">
              <w:rPr>
                <w:rFonts w:ascii="Times New Roman" w:hAnsi="Times New Roman" w:cs="Times New Roman"/>
                <w:sz w:val="26"/>
                <w:szCs w:val="26"/>
              </w:rPr>
              <w:t>RELEASE</w:t>
            </w:r>
          </w:p>
          <w:p w14:paraId="61063B43" w14:textId="77777777" w:rsidR="00521F2C" w:rsidRPr="002F1D1C" w:rsidRDefault="00521F2C" w:rsidP="000B1110">
            <w:pPr>
              <w:pStyle w:val="SingleSpacing"/>
              <w:rPr>
                <w:rFonts w:ascii="Times New Roman" w:hAnsi="Times New Roman" w:cs="Times New Roman"/>
                <w:sz w:val="26"/>
                <w:szCs w:val="26"/>
              </w:rPr>
            </w:pPr>
          </w:p>
          <w:p w14:paraId="46B3716F" w14:textId="0E6DF5C9" w:rsidR="00521F2C" w:rsidRPr="002F1D1C" w:rsidRDefault="00521F2C" w:rsidP="000B1110">
            <w:pPr>
              <w:pStyle w:val="SingleSpacing"/>
              <w:rPr>
                <w:rFonts w:ascii="Times New Roman" w:hAnsi="Times New Roman" w:cs="Times New Roman"/>
                <w:sz w:val="26"/>
                <w:szCs w:val="26"/>
              </w:rPr>
            </w:pPr>
          </w:p>
        </w:tc>
      </w:tr>
    </w:tbl>
    <w:p w14:paraId="211A6696" w14:textId="5C027EDD" w:rsidR="001367AF" w:rsidRDefault="001367AF" w:rsidP="000B1110">
      <w:pPr>
        <w:spacing w:line="240" w:lineRule="auto"/>
        <w:rPr>
          <w:rFonts w:ascii="Times New Roman" w:hAnsi="Times New Roman" w:cs="Times New Roman"/>
          <w:sz w:val="26"/>
          <w:szCs w:val="26"/>
        </w:rPr>
      </w:pPr>
    </w:p>
    <w:p w14:paraId="3BAE9075" w14:textId="6EF1CD33" w:rsidR="002A1A59" w:rsidRPr="002A1A59" w:rsidRDefault="002A1A59" w:rsidP="002A1A59">
      <w:pPr>
        <w:spacing w:line="480" w:lineRule="auto"/>
        <w:jc w:val="center"/>
        <w:rPr>
          <w:rFonts w:ascii="Times New Roman" w:hAnsi="Times New Roman" w:cs="Times New Roman"/>
          <w:b/>
          <w:bCs/>
          <w:sz w:val="26"/>
          <w:szCs w:val="26"/>
          <w:u w:val="single"/>
        </w:rPr>
      </w:pPr>
      <w:r w:rsidRPr="002A1A59">
        <w:rPr>
          <w:rFonts w:ascii="Times New Roman" w:hAnsi="Times New Roman" w:cs="Times New Roman"/>
          <w:b/>
          <w:bCs/>
          <w:sz w:val="26"/>
          <w:szCs w:val="26"/>
          <w:u w:val="single"/>
        </w:rPr>
        <w:t>Introduction</w:t>
      </w:r>
    </w:p>
    <w:p w14:paraId="66C9B907" w14:textId="4E8372F8" w:rsidR="00963A3E" w:rsidRDefault="00963A3E" w:rsidP="00963A3E">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Defendant submits this Supplemental </w:t>
      </w:r>
      <w:r w:rsidR="00FD01AB">
        <w:rPr>
          <w:rFonts w:ascii="Times New Roman" w:hAnsi="Times New Roman" w:cs="Times New Roman"/>
          <w:sz w:val="26"/>
          <w:szCs w:val="26"/>
        </w:rPr>
        <w:t>Memorandum</w:t>
      </w:r>
      <w:r>
        <w:rPr>
          <w:rFonts w:ascii="Times New Roman" w:hAnsi="Times New Roman" w:cs="Times New Roman"/>
          <w:sz w:val="26"/>
          <w:szCs w:val="26"/>
        </w:rPr>
        <w:t xml:space="preserve"> in response to the Court’s request by email dated March 31, 2020 for it.</w:t>
      </w:r>
      <w:r w:rsidR="002A1A59">
        <w:rPr>
          <w:rFonts w:ascii="Times New Roman" w:hAnsi="Times New Roman" w:cs="Times New Roman"/>
          <w:sz w:val="26"/>
          <w:szCs w:val="26"/>
        </w:rPr>
        <w:t xml:space="preserve">  The Court presents the question: Is the Court required to schedule a release hearing and consider release given that the defendant has previously waive his right to a bail hearing?</w:t>
      </w:r>
    </w:p>
    <w:p w14:paraId="11A7098D" w14:textId="1A7C88C5" w:rsidR="002A1A59" w:rsidRPr="002A1A59" w:rsidRDefault="002A1A59" w:rsidP="002A1A59">
      <w:pPr>
        <w:spacing w:line="480" w:lineRule="auto"/>
        <w:jc w:val="center"/>
        <w:rPr>
          <w:rFonts w:ascii="Times New Roman" w:hAnsi="Times New Roman" w:cs="Times New Roman"/>
          <w:b/>
          <w:bCs/>
          <w:sz w:val="26"/>
          <w:szCs w:val="26"/>
          <w:u w:val="single"/>
        </w:rPr>
      </w:pPr>
      <w:r w:rsidRPr="002A1A59">
        <w:rPr>
          <w:rFonts w:ascii="Times New Roman" w:hAnsi="Times New Roman" w:cs="Times New Roman"/>
          <w:b/>
          <w:bCs/>
          <w:sz w:val="26"/>
          <w:szCs w:val="26"/>
          <w:u w:val="single"/>
        </w:rPr>
        <w:t>Discussion</w:t>
      </w:r>
    </w:p>
    <w:p w14:paraId="3697BBA5" w14:textId="50BA3160" w:rsidR="002A1A59" w:rsidRDefault="002A1A59" w:rsidP="00963A3E">
      <w:pPr>
        <w:spacing w:line="480" w:lineRule="auto"/>
        <w:rPr>
          <w:rFonts w:ascii="Times New Roman" w:hAnsi="Times New Roman" w:cs="Times New Roman"/>
          <w:sz w:val="26"/>
          <w:szCs w:val="26"/>
        </w:rPr>
      </w:pPr>
      <w:r>
        <w:rPr>
          <w:rFonts w:ascii="Times New Roman" w:hAnsi="Times New Roman" w:cs="Times New Roman"/>
          <w:sz w:val="26"/>
          <w:szCs w:val="26"/>
        </w:rPr>
        <w:tab/>
        <w:t>The short answer to the question presented is Yes.</w:t>
      </w:r>
    </w:p>
    <w:p w14:paraId="12052118" w14:textId="3E5BD93B" w:rsidR="002A1A59" w:rsidRDefault="002A1A59" w:rsidP="00963A3E">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As discussed in Defendant’s pending Motion for Pre-Trial Release, Defendant may have waived a statutory right, but he has not waived his constitutional rights.  (Motion at </w:t>
      </w:r>
      <w:r w:rsidR="009C6DA1">
        <w:rPr>
          <w:rFonts w:ascii="Times New Roman" w:hAnsi="Times New Roman" w:cs="Times New Roman"/>
          <w:sz w:val="26"/>
          <w:szCs w:val="26"/>
        </w:rPr>
        <w:t>18-20).  Moreover, to the extent that a statutory limitation precludes the assertion of a constitutional right, the statutory limitation is unconstitutional.</w:t>
      </w:r>
    </w:p>
    <w:p w14:paraId="73340D18" w14:textId="77777777" w:rsidR="00D83A6E" w:rsidRDefault="00D83A6E">
      <w:pPr>
        <w:spacing w:line="240"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64A992DC" w14:textId="765342BC" w:rsidR="009C6DA1" w:rsidRPr="009C6DA1" w:rsidRDefault="009C6DA1" w:rsidP="00963A3E">
      <w:pPr>
        <w:spacing w:line="480" w:lineRule="auto"/>
        <w:rPr>
          <w:rFonts w:ascii="Times New Roman" w:hAnsi="Times New Roman" w:cs="Times New Roman"/>
          <w:b/>
          <w:bCs/>
          <w:sz w:val="26"/>
          <w:szCs w:val="26"/>
        </w:rPr>
      </w:pPr>
      <w:r w:rsidRPr="009C6DA1">
        <w:rPr>
          <w:rFonts w:ascii="Times New Roman" w:hAnsi="Times New Roman" w:cs="Times New Roman"/>
          <w:b/>
          <w:bCs/>
          <w:sz w:val="26"/>
          <w:szCs w:val="26"/>
        </w:rPr>
        <w:lastRenderedPageBreak/>
        <w:t>I.  State Constitutional Argument</w:t>
      </w:r>
    </w:p>
    <w:p w14:paraId="2D873FE6" w14:textId="4AD7F7DB" w:rsidR="009C6DA1" w:rsidRDefault="009C6DA1" w:rsidP="00963A3E">
      <w:pPr>
        <w:spacing w:line="480" w:lineRule="auto"/>
        <w:rPr>
          <w:rFonts w:ascii="Times New Roman" w:hAnsi="Times New Roman" w:cs="Times New Roman"/>
          <w:sz w:val="26"/>
          <w:szCs w:val="26"/>
        </w:rPr>
      </w:pPr>
      <w:r>
        <w:rPr>
          <w:rFonts w:ascii="Times New Roman" w:hAnsi="Times New Roman" w:cs="Times New Roman"/>
          <w:sz w:val="26"/>
          <w:szCs w:val="26"/>
        </w:rPr>
        <w:tab/>
      </w:r>
      <w:r w:rsidR="00862388">
        <w:rPr>
          <w:rFonts w:ascii="Times New Roman" w:hAnsi="Times New Roman" w:cs="Times New Roman"/>
          <w:sz w:val="26"/>
          <w:szCs w:val="26"/>
        </w:rPr>
        <w:t xml:space="preserve">Article I, section 13, of the Oregon Constitution provides that, “No person arrested, or confined in jail, shall be treated with unnecessary rigor” and it requires the State “to protect inmates from serious health hazards.”  323 Or 167, 177, 916 P2d 291 (1996) (quoting </w:t>
      </w:r>
      <w:r w:rsidR="00862388" w:rsidRPr="00D744C0">
        <w:rPr>
          <w:rFonts w:ascii="Times New Roman" w:hAnsi="Times New Roman" w:cs="Times New Roman"/>
          <w:i/>
          <w:iCs/>
          <w:sz w:val="26"/>
          <w:szCs w:val="26"/>
        </w:rPr>
        <w:t>Estelle v. Gamble</w:t>
      </w:r>
      <w:r w:rsidR="00862388" w:rsidRPr="00D744C0">
        <w:rPr>
          <w:rFonts w:ascii="Times New Roman" w:hAnsi="Times New Roman" w:cs="Times New Roman"/>
          <w:sz w:val="26"/>
          <w:szCs w:val="26"/>
        </w:rPr>
        <w:t>, 429 US 97, 97 S</w:t>
      </w:r>
      <w:r w:rsidR="00862388">
        <w:rPr>
          <w:rFonts w:ascii="Times New Roman" w:hAnsi="Times New Roman" w:cs="Times New Roman"/>
          <w:sz w:val="26"/>
          <w:szCs w:val="26"/>
        </w:rPr>
        <w:t xml:space="preserve"> </w:t>
      </w:r>
      <w:r w:rsidR="00862388" w:rsidRPr="00D744C0">
        <w:rPr>
          <w:rFonts w:ascii="Times New Roman" w:hAnsi="Times New Roman" w:cs="Times New Roman"/>
          <w:sz w:val="26"/>
          <w:szCs w:val="26"/>
        </w:rPr>
        <w:t>Ct 285, 50 L</w:t>
      </w:r>
      <w:r w:rsidR="00862388">
        <w:rPr>
          <w:rFonts w:ascii="Times New Roman" w:hAnsi="Times New Roman" w:cs="Times New Roman"/>
          <w:sz w:val="26"/>
          <w:szCs w:val="26"/>
        </w:rPr>
        <w:t xml:space="preserve"> </w:t>
      </w:r>
      <w:r w:rsidR="00862388" w:rsidRPr="00D744C0">
        <w:rPr>
          <w:rFonts w:ascii="Times New Roman" w:hAnsi="Times New Roman" w:cs="Times New Roman"/>
          <w:sz w:val="26"/>
          <w:szCs w:val="26"/>
        </w:rPr>
        <w:t>Ed</w:t>
      </w:r>
      <w:r w:rsidR="00862388">
        <w:rPr>
          <w:rFonts w:ascii="Times New Roman" w:hAnsi="Times New Roman" w:cs="Times New Roman"/>
          <w:sz w:val="26"/>
          <w:szCs w:val="26"/>
        </w:rPr>
        <w:t xml:space="preserve"> </w:t>
      </w:r>
      <w:r w:rsidR="00862388" w:rsidRPr="00D744C0">
        <w:rPr>
          <w:rFonts w:ascii="Times New Roman" w:hAnsi="Times New Roman" w:cs="Times New Roman"/>
          <w:sz w:val="26"/>
          <w:szCs w:val="26"/>
        </w:rPr>
        <w:t>2d 251 (1976)</w:t>
      </w:r>
      <w:r w:rsidR="00862388">
        <w:rPr>
          <w:rFonts w:ascii="Times New Roman" w:hAnsi="Times New Roman" w:cs="Times New Roman"/>
          <w:sz w:val="26"/>
          <w:szCs w:val="26"/>
        </w:rPr>
        <w:t>).  Defendant has been arrested, and he is confined in jail.</w:t>
      </w:r>
    </w:p>
    <w:p w14:paraId="5A4C5BAE" w14:textId="13C93327" w:rsidR="00862388" w:rsidRDefault="00862388" w:rsidP="00963A3E">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On </w:t>
      </w:r>
      <w:r w:rsidR="00D240A3">
        <w:rPr>
          <w:rFonts w:ascii="Times New Roman" w:hAnsi="Times New Roman" w:cs="Times New Roman"/>
          <w:sz w:val="26"/>
          <w:szCs w:val="26"/>
        </w:rPr>
        <w:t xml:space="preserve">September 5, 2017, Defendant executed a written waiver of “my right to a bail hearing.”  (Exhibit 17, page 1).  A copy of that written waiver is attached to this Supplemental </w:t>
      </w:r>
      <w:r w:rsidR="00685461">
        <w:rPr>
          <w:rFonts w:ascii="Times New Roman" w:hAnsi="Times New Roman" w:cs="Times New Roman"/>
          <w:sz w:val="26"/>
          <w:szCs w:val="26"/>
        </w:rPr>
        <w:t>Memorandum</w:t>
      </w:r>
      <w:r w:rsidR="00D240A3">
        <w:rPr>
          <w:rFonts w:ascii="Times New Roman" w:hAnsi="Times New Roman" w:cs="Times New Roman"/>
          <w:sz w:val="26"/>
          <w:szCs w:val="26"/>
        </w:rPr>
        <w:t>.  Nothing in that waiver purports to waive any constitutional right or any right to anything other than a bail hearing</w:t>
      </w:r>
      <w:r w:rsidR="00741C1A">
        <w:rPr>
          <w:rFonts w:ascii="Times New Roman" w:hAnsi="Times New Roman" w:cs="Times New Roman"/>
          <w:sz w:val="26"/>
          <w:szCs w:val="26"/>
        </w:rPr>
        <w:t>:</w:t>
      </w:r>
    </w:p>
    <w:p w14:paraId="0A925A72" w14:textId="1AB6C79A" w:rsidR="00741C1A" w:rsidRDefault="00741C1A" w:rsidP="00741C1A">
      <w:pPr>
        <w:pStyle w:val="QuotedMaterial"/>
      </w:pPr>
      <w:r>
        <w:t>“</w:t>
      </w:r>
      <w:r w:rsidRPr="00741C1A">
        <w:t xml:space="preserve">A waiver is the intentional relinquishment or abandonment of a known right or </w:t>
      </w:r>
      <w:proofErr w:type="gramStart"/>
      <w:r w:rsidRPr="00741C1A">
        <w:t>privilege</w:t>
      </w:r>
      <w:r>
        <w:t>,</w:t>
      </w:r>
      <w:r w:rsidRPr="00741C1A">
        <w:t xml:space="preserve"> and</w:t>
      </w:r>
      <w:proofErr w:type="gramEnd"/>
      <w:r w:rsidRPr="00741C1A">
        <w:t xml:space="preserve"> must be made intelligently and knowingly</w:t>
      </w:r>
      <w:r>
        <w:t>.”</w:t>
      </w:r>
    </w:p>
    <w:p w14:paraId="71142B85" w14:textId="0B7481BE" w:rsidR="00741C1A" w:rsidRDefault="00741C1A" w:rsidP="00963A3E">
      <w:pPr>
        <w:spacing w:line="480" w:lineRule="auto"/>
        <w:rPr>
          <w:rFonts w:ascii="Times New Roman" w:hAnsi="Times New Roman" w:cs="Times New Roman"/>
          <w:sz w:val="26"/>
          <w:szCs w:val="26"/>
        </w:rPr>
      </w:pPr>
      <w:r>
        <w:rPr>
          <w:rFonts w:ascii="Times New Roman" w:hAnsi="Times New Roman" w:cs="Times New Roman"/>
          <w:i/>
          <w:iCs/>
          <w:sz w:val="26"/>
          <w:szCs w:val="26"/>
        </w:rPr>
        <w:t>State v. Steen</w:t>
      </w:r>
      <w:r>
        <w:rPr>
          <w:rFonts w:ascii="Times New Roman" w:hAnsi="Times New Roman" w:cs="Times New Roman"/>
          <w:sz w:val="26"/>
          <w:szCs w:val="26"/>
        </w:rPr>
        <w:t>, 346 Or 143, 152, 206 P3d 614 (2009) (citations omitted).</w:t>
      </w:r>
    </w:p>
    <w:p w14:paraId="5B9BA1FF" w14:textId="4D0C2EE6" w:rsidR="00045384" w:rsidRDefault="00741C1A" w:rsidP="00963A3E">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A waiver may not be presumed from a silent record.  </w:t>
      </w:r>
      <w:r>
        <w:rPr>
          <w:rFonts w:ascii="Times New Roman" w:hAnsi="Times New Roman" w:cs="Times New Roman"/>
          <w:i/>
          <w:iCs/>
          <w:sz w:val="26"/>
          <w:szCs w:val="26"/>
        </w:rPr>
        <w:t>State v. Langley</w:t>
      </w:r>
      <w:r>
        <w:rPr>
          <w:rFonts w:ascii="Times New Roman" w:hAnsi="Times New Roman" w:cs="Times New Roman"/>
          <w:sz w:val="26"/>
          <w:szCs w:val="26"/>
        </w:rPr>
        <w:t xml:space="preserve">, </w:t>
      </w:r>
      <w:r w:rsidR="00350606">
        <w:rPr>
          <w:rFonts w:ascii="Times New Roman" w:hAnsi="Times New Roman" w:cs="Times New Roman"/>
          <w:sz w:val="26"/>
          <w:szCs w:val="26"/>
        </w:rPr>
        <w:t xml:space="preserve">351 Or 652, 665, 273 P3d 901 (2012).  </w:t>
      </w:r>
      <w:r w:rsidR="00D83A6E">
        <w:rPr>
          <w:rFonts w:ascii="Times New Roman" w:hAnsi="Times New Roman" w:cs="Times New Roman"/>
          <w:sz w:val="26"/>
          <w:szCs w:val="26"/>
        </w:rPr>
        <w:t xml:space="preserve">Defendant’s waiver of his statutory right to a bail hearing is absolutely silent about </w:t>
      </w:r>
      <w:r w:rsidR="00350606">
        <w:rPr>
          <w:rFonts w:ascii="Times New Roman" w:hAnsi="Times New Roman" w:cs="Times New Roman"/>
          <w:sz w:val="26"/>
          <w:szCs w:val="26"/>
        </w:rPr>
        <w:t xml:space="preserve">Article I, section 13 </w:t>
      </w:r>
      <w:r w:rsidR="00D83A6E">
        <w:rPr>
          <w:rFonts w:ascii="Times New Roman" w:hAnsi="Times New Roman" w:cs="Times New Roman"/>
          <w:sz w:val="26"/>
          <w:szCs w:val="26"/>
        </w:rPr>
        <w:t>and</w:t>
      </w:r>
      <w:r w:rsidR="00350606">
        <w:rPr>
          <w:rFonts w:ascii="Times New Roman" w:hAnsi="Times New Roman" w:cs="Times New Roman"/>
          <w:sz w:val="26"/>
          <w:szCs w:val="26"/>
        </w:rPr>
        <w:t xml:space="preserve"> Defendant’s right to be free from “unnecessary rigor</w:t>
      </w:r>
      <w:r w:rsidR="00D83A6E">
        <w:rPr>
          <w:rFonts w:ascii="Times New Roman" w:hAnsi="Times New Roman" w:cs="Times New Roman"/>
          <w:sz w:val="26"/>
          <w:szCs w:val="26"/>
        </w:rPr>
        <w:t>.</w:t>
      </w:r>
      <w:r w:rsidR="00350606">
        <w:rPr>
          <w:rFonts w:ascii="Times New Roman" w:hAnsi="Times New Roman" w:cs="Times New Roman"/>
          <w:sz w:val="26"/>
          <w:szCs w:val="26"/>
        </w:rPr>
        <w:t xml:space="preserve">” </w:t>
      </w:r>
      <w:r w:rsidR="00D83A6E">
        <w:rPr>
          <w:rFonts w:ascii="Times New Roman" w:hAnsi="Times New Roman" w:cs="Times New Roman"/>
          <w:sz w:val="26"/>
          <w:szCs w:val="26"/>
        </w:rPr>
        <w:t xml:space="preserve"> That silence </w:t>
      </w:r>
      <w:r w:rsidR="00350606">
        <w:rPr>
          <w:rFonts w:ascii="Times New Roman" w:hAnsi="Times New Roman" w:cs="Times New Roman"/>
          <w:sz w:val="26"/>
          <w:szCs w:val="26"/>
        </w:rPr>
        <w:t xml:space="preserve">precludes this court from assuming or inferring that </w:t>
      </w:r>
      <w:r w:rsidR="00D83A6E">
        <w:rPr>
          <w:rFonts w:ascii="Times New Roman" w:hAnsi="Times New Roman" w:cs="Times New Roman"/>
          <w:sz w:val="26"/>
          <w:szCs w:val="26"/>
        </w:rPr>
        <w:t>he</w:t>
      </w:r>
      <w:r w:rsidR="00350606">
        <w:rPr>
          <w:rFonts w:ascii="Times New Roman" w:hAnsi="Times New Roman" w:cs="Times New Roman"/>
          <w:sz w:val="26"/>
          <w:szCs w:val="26"/>
        </w:rPr>
        <w:t xml:space="preserve"> intentionally and knowingly gave up his right to be “protect[ed] from serious health hazards.”</w:t>
      </w:r>
    </w:p>
    <w:p w14:paraId="0FA20D19" w14:textId="5CFE83D1" w:rsidR="00741C1A" w:rsidRDefault="00045384" w:rsidP="00963A3E">
      <w:pPr>
        <w:spacing w:line="480" w:lineRule="auto"/>
        <w:rPr>
          <w:rFonts w:ascii="Times New Roman" w:hAnsi="Times New Roman" w:cs="Times New Roman"/>
          <w:sz w:val="26"/>
          <w:szCs w:val="26"/>
        </w:rPr>
      </w:pPr>
      <w:r>
        <w:rPr>
          <w:rFonts w:ascii="Times New Roman" w:hAnsi="Times New Roman" w:cs="Times New Roman"/>
          <w:sz w:val="26"/>
          <w:szCs w:val="26"/>
        </w:rPr>
        <w:tab/>
        <w:t>In Exhibit 16, attorney W. Keith Goody details conditions of confinement at Inverness Jail, as described to him by Defendant.  Brie Williams, M.D. is the Director of the Criminal Justice and Health Program at the University of California at San Francisco.</w:t>
      </w:r>
      <w:r w:rsidR="009B66A1">
        <w:rPr>
          <w:rFonts w:ascii="Times New Roman" w:hAnsi="Times New Roman" w:cs="Times New Roman"/>
          <w:sz w:val="26"/>
          <w:szCs w:val="26"/>
        </w:rPr>
        <w:t xml:space="preserve">  </w:t>
      </w:r>
      <w:r w:rsidR="009B66A1">
        <w:rPr>
          <w:rFonts w:ascii="Times New Roman" w:hAnsi="Times New Roman" w:cs="Times New Roman"/>
          <w:sz w:val="26"/>
          <w:szCs w:val="26"/>
        </w:rPr>
        <w:lastRenderedPageBreak/>
        <w:t xml:space="preserve">Her sworn statement is attached to this Supplemental </w:t>
      </w:r>
      <w:r w:rsidR="00685461">
        <w:rPr>
          <w:rFonts w:ascii="Times New Roman" w:hAnsi="Times New Roman" w:cs="Times New Roman"/>
          <w:sz w:val="26"/>
          <w:szCs w:val="26"/>
        </w:rPr>
        <w:t>Memorandum</w:t>
      </w:r>
      <w:r w:rsidR="009B66A1">
        <w:rPr>
          <w:rFonts w:ascii="Times New Roman" w:hAnsi="Times New Roman" w:cs="Times New Roman"/>
          <w:sz w:val="26"/>
          <w:szCs w:val="26"/>
        </w:rPr>
        <w:t xml:space="preserve"> as Exhibit 18.  Dr. Williams’s sworn statement confirms, with frightening specificity, that the conditions Defendant describes are life threatening, endangering not only him and other jail inmates, but the community at large.</w:t>
      </w:r>
    </w:p>
    <w:p w14:paraId="53F26371" w14:textId="0DED1F3C" w:rsidR="009B66A1" w:rsidRDefault="009B66A1" w:rsidP="00963A3E">
      <w:pPr>
        <w:spacing w:line="480" w:lineRule="auto"/>
        <w:rPr>
          <w:rFonts w:ascii="Times New Roman" w:hAnsi="Times New Roman" w:cs="Times New Roman"/>
          <w:sz w:val="26"/>
          <w:szCs w:val="26"/>
        </w:rPr>
      </w:pPr>
      <w:r>
        <w:rPr>
          <w:rFonts w:ascii="Times New Roman" w:hAnsi="Times New Roman" w:cs="Times New Roman"/>
          <w:sz w:val="26"/>
          <w:szCs w:val="26"/>
        </w:rPr>
        <w:tab/>
        <w:t>The Chief Justice of the Oregon Supreme Court has ordered this court “to identify persons housed in [local] jails who can be safely released.”  CJO 20-006 (Amended), § 15(b).  This court is not at liberty to disregard the Chief Justice’s order.  ORS 1.002</w:t>
      </w:r>
      <w:r w:rsidR="00FE2BFF">
        <w:rPr>
          <w:rFonts w:ascii="Times New Roman" w:hAnsi="Times New Roman" w:cs="Times New Roman"/>
          <w:sz w:val="26"/>
          <w:szCs w:val="26"/>
        </w:rPr>
        <w:t>(1) provides that, “The Chief Justice shall exercise administrative authority and supervision over the courts of this state” and that the Chief Justice is authorized to “issue orders appropriate to that exercise.”  A trial court</w:t>
      </w:r>
      <w:r w:rsidR="009D5583">
        <w:rPr>
          <w:rFonts w:ascii="Times New Roman" w:hAnsi="Times New Roman" w:cs="Times New Roman"/>
          <w:sz w:val="26"/>
          <w:szCs w:val="26"/>
        </w:rPr>
        <w:t xml:space="preserve"> “does not have discretion to ignore” directives issued to it under the authority of ORS 1.002.  </w:t>
      </w:r>
      <w:r w:rsidR="009D5583">
        <w:rPr>
          <w:rFonts w:ascii="Times New Roman" w:hAnsi="Times New Roman" w:cs="Times New Roman"/>
          <w:i/>
          <w:iCs/>
          <w:sz w:val="26"/>
          <w:szCs w:val="26"/>
        </w:rPr>
        <w:t>Coleman v. Coleman</w:t>
      </w:r>
      <w:r w:rsidR="009D5583">
        <w:rPr>
          <w:rFonts w:ascii="Times New Roman" w:hAnsi="Times New Roman" w:cs="Times New Roman"/>
          <w:sz w:val="26"/>
          <w:szCs w:val="26"/>
        </w:rPr>
        <w:t>, 117 Or App 333, 335-36, 844 P2d 234 (1992).</w:t>
      </w:r>
    </w:p>
    <w:p w14:paraId="5CD3FCD0" w14:textId="0800D6DF" w:rsidR="009D5583" w:rsidRDefault="009D5583" w:rsidP="00963A3E">
      <w:pPr>
        <w:spacing w:line="480" w:lineRule="auto"/>
        <w:rPr>
          <w:rFonts w:ascii="Times New Roman" w:hAnsi="Times New Roman" w:cs="Times New Roman"/>
          <w:sz w:val="26"/>
          <w:szCs w:val="26"/>
        </w:rPr>
      </w:pPr>
      <w:r>
        <w:rPr>
          <w:rFonts w:ascii="Times New Roman" w:hAnsi="Times New Roman" w:cs="Times New Roman"/>
          <w:sz w:val="26"/>
          <w:szCs w:val="26"/>
        </w:rPr>
        <w:tab/>
      </w:r>
      <w:r w:rsidR="007A290C">
        <w:rPr>
          <w:rFonts w:ascii="Times New Roman" w:hAnsi="Times New Roman" w:cs="Times New Roman"/>
          <w:sz w:val="26"/>
          <w:szCs w:val="26"/>
        </w:rPr>
        <w:t>Article I, section 10, of the Oregon Constitution provides:</w:t>
      </w:r>
    </w:p>
    <w:p w14:paraId="233FE2A2" w14:textId="4896B518" w:rsidR="007A290C" w:rsidRDefault="007A290C" w:rsidP="007A290C">
      <w:pPr>
        <w:pStyle w:val="QuotedMaterial"/>
      </w:pPr>
      <w:r>
        <w:tab/>
      </w:r>
      <w:r w:rsidRPr="007A290C">
        <w:t>“No court shall be secret, but justice shall be administered,</w:t>
      </w:r>
      <w:r>
        <w:t xml:space="preserve"> </w:t>
      </w:r>
      <w:r w:rsidRPr="007A290C">
        <w:t>openly and without purchase, completely and without delay, and</w:t>
      </w:r>
      <w:r>
        <w:t xml:space="preserve"> </w:t>
      </w:r>
      <w:r w:rsidRPr="007A290C">
        <w:rPr>
          <w:i/>
          <w:iCs/>
        </w:rPr>
        <w:t>every man shall have remedy by due course of law for injury done him in his person</w:t>
      </w:r>
      <w:r w:rsidRPr="007A290C">
        <w:t>, property, or reputation.”</w:t>
      </w:r>
    </w:p>
    <w:p w14:paraId="209AF3C1" w14:textId="58AE23E6" w:rsidR="007A290C" w:rsidRDefault="007A290C" w:rsidP="007A290C">
      <w:pPr>
        <w:spacing w:line="480" w:lineRule="auto"/>
        <w:rPr>
          <w:rFonts w:ascii="Times New Roman" w:hAnsi="Times New Roman" w:cs="Times New Roman"/>
          <w:sz w:val="26"/>
          <w:szCs w:val="26"/>
        </w:rPr>
      </w:pPr>
      <w:r>
        <w:rPr>
          <w:rFonts w:ascii="Times New Roman" w:hAnsi="Times New Roman" w:cs="Times New Roman"/>
          <w:sz w:val="26"/>
          <w:szCs w:val="26"/>
        </w:rPr>
        <w:t>(Emphasis added).</w:t>
      </w:r>
    </w:p>
    <w:p w14:paraId="2BA401A7" w14:textId="4D4DBA97" w:rsidR="007A290C" w:rsidRPr="00CC1E6B" w:rsidRDefault="007A290C" w:rsidP="007A290C">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The fact that Defendant waived his right to a bail hearing on September 5, 2017, but he did not waive his constitutional right to be protected from “serious health hazards” while awaiting trial.  Article I, section 10 guarantees that he is entitled to a “constitutionally adequate” forum within which to assert that right.  </w:t>
      </w:r>
      <w:r>
        <w:rPr>
          <w:rFonts w:ascii="Times New Roman" w:hAnsi="Times New Roman" w:cs="Times New Roman"/>
          <w:i/>
          <w:iCs/>
          <w:sz w:val="26"/>
          <w:szCs w:val="26"/>
        </w:rPr>
        <w:t>Horton v. OHSU</w:t>
      </w:r>
      <w:r>
        <w:rPr>
          <w:rFonts w:ascii="Times New Roman" w:hAnsi="Times New Roman" w:cs="Times New Roman"/>
          <w:sz w:val="26"/>
          <w:szCs w:val="26"/>
        </w:rPr>
        <w:t xml:space="preserve">, </w:t>
      </w:r>
      <w:r w:rsidR="005B1F7D">
        <w:rPr>
          <w:rFonts w:ascii="Times New Roman" w:hAnsi="Times New Roman" w:cs="Times New Roman"/>
          <w:sz w:val="26"/>
          <w:szCs w:val="26"/>
        </w:rPr>
        <w:t>359 Or 168, 176, 376 P3d 998 (2016)</w:t>
      </w:r>
      <w:r w:rsidR="00D549FC">
        <w:rPr>
          <w:rFonts w:ascii="Times New Roman" w:hAnsi="Times New Roman" w:cs="Times New Roman"/>
          <w:sz w:val="26"/>
          <w:szCs w:val="26"/>
        </w:rPr>
        <w:t xml:space="preserve"> (legislature cannot create remedy for “absolute </w:t>
      </w:r>
      <w:r w:rsidR="00D549FC">
        <w:rPr>
          <w:rFonts w:ascii="Times New Roman" w:hAnsi="Times New Roman" w:cs="Times New Roman"/>
          <w:sz w:val="26"/>
          <w:szCs w:val="26"/>
        </w:rPr>
        <w:lastRenderedPageBreak/>
        <w:t>right” that is not “constitutionally adequate”).</w:t>
      </w:r>
      <w:r w:rsidR="00FD01AB">
        <w:rPr>
          <w:rFonts w:ascii="Times New Roman" w:hAnsi="Times New Roman" w:cs="Times New Roman"/>
          <w:sz w:val="26"/>
          <w:szCs w:val="26"/>
        </w:rPr>
        <w:t xml:space="preserve">  </w:t>
      </w:r>
      <w:r w:rsidR="00D549FC">
        <w:rPr>
          <w:rFonts w:ascii="Times New Roman" w:hAnsi="Times New Roman" w:cs="Times New Roman"/>
          <w:sz w:val="26"/>
          <w:szCs w:val="26"/>
        </w:rPr>
        <w:t xml:space="preserve">To the extent that Defendant’s statutory waiver of a bail hearing could act as an insurmountable barrier to asserting his constitutional right under Article I, section 13, it violates the </w:t>
      </w:r>
      <w:r w:rsidR="00F96E10">
        <w:rPr>
          <w:rFonts w:ascii="Times New Roman" w:hAnsi="Times New Roman" w:cs="Times New Roman"/>
          <w:sz w:val="26"/>
          <w:szCs w:val="26"/>
        </w:rPr>
        <w:t>D</w:t>
      </w:r>
      <w:r w:rsidR="00D549FC">
        <w:rPr>
          <w:rFonts w:ascii="Times New Roman" w:hAnsi="Times New Roman" w:cs="Times New Roman"/>
          <w:sz w:val="26"/>
          <w:szCs w:val="26"/>
        </w:rPr>
        <w:t xml:space="preserve">ue </w:t>
      </w:r>
      <w:r w:rsidR="00F96E10">
        <w:rPr>
          <w:rFonts w:ascii="Times New Roman" w:hAnsi="Times New Roman" w:cs="Times New Roman"/>
          <w:sz w:val="26"/>
          <w:szCs w:val="26"/>
        </w:rPr>
        <w:t>C</w:t>
      </w:r>
      <w:r w:rsidR="00D549FC">
        <w:rPr>
          <w:rFonts w:ascii="Times New Roman" w:hAnsi="Times New Roman" w:cs="Times New Roman"/>
          <w:sz w:val="26"/>
          <w:szCs w:val="26"/>
        </w:rPr>
        <w:t xml:space="preserve">ourse of </w:t>
      </w:r>
      <w:r w:rsidR="00F96E10">
        <w:rPr>
          <w:rFonts w:ascii="Times New Roman" w:hAnsi="Times New Roman" w:cs="Times New Roman"/>
          <w:sz w:val="26"/>
          <w:szCs w:val="26"/>
        </w:rPr>
        <w:t>L</w:t>
      </w:r>
      <w:r w:rsidR="00D549FC">
        <w:rPr>
          <w:rFonts w:ascii="Times New Roman" w:hAnsi="Times New Roman" w:cs="Times New Roman"/>
          <w:sz w:val="26"/>
          <w:szCs w:val="26"/>
        </w:rPr>
        <w:t>aw clause in Article I, section 10.</w:t>
      </w:r>
      <w:r w:rsidR="00CC1E6B">
        <w:rPr>
          <w:rFonts w:ascii="Times New Roman" w:hAnsi="Times New Roman" w:cs="Times New Roman"/>
          <w:sz w:val="26"/>
          <w:szCs w:val="26"/>
        </w:rPr>
        <w:t xml:space="preserve">  </w:t>
      </w:r>
      <w:r w:rsidR="00CC1E6B">
        <w:rPr>
          <w:rFonts w:ascii="Times New Roman" w:hAnsi="Times New Roman" w:cs="Times New Roman"/>
          <w:i/>
          <w:iCs/>
          <w:sz w:val="26"/>
          <w:szCs w:val="26"/>
        </w:rPr>
        <w:t>Cf. Howell v. Boyle</w:t>
      </w:r>
      <w:r w:rsidR="00CC1E6B">
        <w:rPr>
          <w:rFonts w:ascii="Times New Roman" w:hAnsi="Times New Roman" w:cs="Times New Roman"/>
          <w:sz w:val="26"/>
          <w:szCs w:val="26"/>
        </w:rPr>
        <w:t>, 353 Or 359, 298 P3d 1 (2013) (legislatively created remedy for asserting common-law right cannot “leave the injured party with an ‘emasculated’ version of the remedy that was available at common law”).</w:t>
      </w:r>
    </w:p>
    <w:p w14:paraId="5A0C626E" w14:textId="070D5877" w:rsidR="00D549FC" w:rsidRPr="00D549FC" w:rsidRDefault="00D549FC" w:rsidP="007A290C">
      <w:pPr>
        <w:spacing w:line="480" w:lineRule="auto"/>
        <w:rPr>
          <w:rFonts w:ascii="Times New Roman" w:hAnsi="Times New Roman" w:cs="Times New Roman"/>
          <w:b/>
          <w:bCs/>
          <w:sz w:val="26"/>
          <w:szCs w:val="26"/>
        </w:rPr>
      </w:pPr>
      <w:r w:rsidRPr="00D549FC">
        <w:rPr>
          <w:rFonts w:ascii="Times New Roman" w:hAnsi="Times New Roman" w:cs="Times New Roman"/>
          <w:b/>
          <w:bCs/>
          <w:sz w:val="26"/>
          <w:szCs w:val="26"/>
        </w:rPr>
        <w:t>II. Federal Constitutional Argument</w:t>
      </w:r>
    </w:p>
    <w:p w14:paraId="6DF8D673" w14:textId="77777777" w:rsidR="00CC1E6B" w:rsidRDefault="00D549FC" w:rsidP="007A290C">
      <w:pPr>
        <w:spacing w:line="480" w:lineRule="auto"/>
        <w:rPr>
          <w:rFonts w:ascii="Times New Roman" w:hAnsi="Times New Roman" w:cs="Times New Roman"/>
          <w:sz w:val="26"/>
          <w:szCs w:val="26"/>
        </w:rPr>
      </w:pPr>
      <w:r>
        <w:rPr>
          <w:rFonts w:ascii="Times New Roman" w:hAnsi="Times New Roman" w:cs="Times New Roman"/>
          <w:sz w:val="26"/>
          <w:szCs w:val="26"/>
        </w:rPr>
        <w:tab/>
      </w:r>
      <w:r w:rsidR="00F21D06">
        <w:rPr>
          <w:rFonts w:ascii="Times New Roman" w:hAnsi="Times New Roman" w:cs="Times New Roman"/>
          <w:sz w:val="26"/>
          <w:szCs w:val="26"/>
        </w:rPr>
        <w:t xml:space="preserve">In </w:t>
      </w:r>
      <w:r w:rsidR="00F21D06">
        <w:rPr>
          <w:rFonts w:ascii="Times New Roman" w:hAnsi="Times New Roman" w:cs="Times New Roman"/>
          <w:i/>
          <w:iCs/>
          <w:sz w:val="26"/>
          <w:szCs w:val="26"/>
        </w:rPr>
        <w:t>Estelle v. Gamble</w:t>
      </w:r>
      <w:r w:rsidR="00F21D06">
        <w:rPr>
          <w:rFonts w:ascii="Times New Roman" w:hAnsi="Times New Roman" w:cs="Times New Roman"/>
          <w:sz w:val="26"/>
          <w:szCs w:val="26"/>
        </w:rPr>
        <w:t xml:space="preserve">, 429 US 97, 104, 97 S Ct 285, 50 L Ed 2d 251 (1976), the United States Supreme Court </w:t>
      </w:r>
      <w:r w:rsidR="00DC2C99">
        <w:rPr>
          <w:rFonts w:ascii="Times New Roman" w:hAnsi="Times New Roman" w:cs="Times New Roman"/>
          <w:sz w:val="26"/>
          <w:szCs w:val="26"/>
        </w:rPr>
        <w:t>declared that “deliberate indifference</w:t>
      </w:r>
      <w:r w:rsidR="00F96E10">
        <w:rPr>
          <w:rFonts w:ascii="Times New Roman" w:hAnsi="Times New Roman" w:cs="Times New Roman"/>
          <w:sz w:val="26"/>
          <w:szCs w:val="26"/>
        </w:rPr>
        <w:t xml:space="preserve"> [by governmental official] to serious medical needs of prisoners” violates the Eighth Amendment.  While that standard is not directly applicable under the Eighth Amendment to pre-trial detention, it is directly applicable</w:t>
      </w:r>
      <w:r w:rsidR="00C3298B">
        <w:rPr>
          <w:rFonts w:ascii="Times New Roman" w:hAnsi="Times New Roman" w:cs="Times New Roman"/>
          <w:sz w:val="26"/>
          <w:szCs w:val="26"/>
        </w:rPr>
        <w:t xml:space="preserve"> to pre-trial detention </w:t>
      </w:r>
      <w:r w:rsidR="00F96E10">
        <w:rPr>
          <w:rFonts w:ascii="Times New Roman" w:hAnsi="Times New Roman" w:cs="Times New Roman"/>
          <w:sz w:val="26"/>
          <w:szCs w:val="26"/>
        </w:rPr>
        <w:t xml:space="preserve">under the Due Process Clause of the Fourteenth Amendment.  </w:t>
      </w:r>
      <w:r w:rsidR="00F96E10">
        <w:rPr>
          <w:rFonts w:ascii="Times New Roman" w:hAnsi="Times New Roman" w:cs="Times New Roman"/>
          <w:i/>
          <w:iCs/>
          <w:sz w:val="26"/>
          <w:szCs w:val="26"/>
        </w:rPr>
        <w:t xml:space="preserve">City of Revere v. </w:t>
      </w:r>
      <w:r w:rsidR="00C3298B">
        <w:rPr>
          <w:rFonts w:ascii="Times New Roman" w:hAnsi="Times New Roman" w:cs="Times New Roman"/>
          <w:i/>
          <w:iCs/>
          <w:sz w:val="26"/>
          <w:szCs w:val="26"/>
        </w:rPr>
        <w:t>Massachusetts</w:t>
      </w:r>
      <w:r w:rsidR="00F96E10">
        <w:rPr>
          <w:rFonts w:ascii="Times New Roman" w:hAnsi="Times New Roman" w:cs="Times New Roman"/>
          <w:i/>
          <w:iCs/>
          <w:sz w:val="26"/>
          <w:szCs w:val="26"/>
        </w:rPr>
        <w:t xml:space="preserve"> General Hosp</w:t>
      </w:r>
      <w:r w:rsidR="00F96E10">
        <w:rPr>
          <w:rFonts w:ascii="Times New Roman" w:hAnsi="Times New Roman" w:cs="Times New Roman"/>
          <w:sz w:val="26"/>
          <w:szCs w:val="26"/>
        </w:rPr>
        <w:t>., 463 US 239, 244</w:t>
      </w:r>
      <w:r w:rsidR="00C3298B">
        <w:rPr>
          <w:rFonts w:ascii="Times New Roman" w:hAnsi="Times New Roman" w:cs="Times New Roman"/>
          <w:sz w:val="26"/>
          <w:szCs w:val="26"/>
        </w:rPr>
        <w:t>, 103 S Ct 2979, 77 L Ed 2d 605 (1983).</w:t>
      </w:r>
    </w:p>
    <w:p w14:paraId="26077851" w14:textId="368A5E2B" w:rsidR="00D549FC" w:rsidRDefault="00CC1E6B" w:rsidP="007A290C">
      <w:pPr>
        <w:spacing w:line="480" w:lineRule="auto"/>
        <w:rPr>
          <w:rFonts w:ascii="Times New Roman" w:hAnsi="Times New Roman" w:cs="Times New Roman"/>
          <w:sz w:val="26"/>
          <w:szCs w:val="26"/>
        </w:rPr>
      </w:pPr>
      <w:r>
        <w:rPr>
          <w:rFonts w:ascii="Times New Roman" w:hAnsi="Times New Roman" w:cs="Times New Roman"/>
          <w:sz w:val="26"/>
          <w:szCs w:val="26"/>
        </w:rPr>
        <w:tab/>
        <w:t>Waiver</w:t>
      </w:r>
      <w:r w:rsidR="00785AD9">
        <w:rPr>
          <w:rFonts w:ascii="Times New Roman" w:hAnsi="Times New Roman" w:cs="Times New Roman"/>
          <w:sz w:val="26"/>
          <w:szCs w:val="26"/>
        </w:rPr>
        <w:t xml:space="preserve"> is “the intentional relinquishment or abandonment of a known right.”  </w:t>
      </w:r>
      <w:r w:rsidR="00785AD9">
        <w:rPr>
          <w:rFonts w:ascii="Times New Roman" w:hAnsi="Times New Roman" w:cs="Times New Roman"/>
          <w:i/>
          <w:iCs/>
          <w:sz w:val="26"/>
          <w:szCs w:val="26"/>
        </w:rPr>
        <w:t>Wood v. Milyard</w:t>
      </w:r>
      <w:r w:rsidR="00785AD9">
        <w:rPr>
          <w:rFonts w:ascii="Times New Roman" w:hAnsi="Times New Roman" w:cs="Times New Roman"/>
          <w:sz w:val="26"/>
          <w:szCs w:val="26"/>
        </w:rPr>
        <w:t xml:space="preserve">, 566 US 463, 474, 132 S Ct 1826, 182 L Ed 2d 733 (2012) (citations omitted).  As under the Oregon Constitution, waiver cannot be inferred from a silent record.  </w:t>
      </w:r>
      <w:r w:rsidR="00785AD9">
        <w:rPr>
          <w:rFonts w:ascii="Times New Roman" w:hAnsi="Times New Roman" w:cs="Times New Roman"/>
          <w:i/>
          <w:iCs/>
          <w:sz w:val="26"/>
          <w:szCs w:val="26"/>
        </w:rPr>
        <w:t>Gonzalez v. United States</w:t>
      </w:r>
      <w:r w:rsidR="00785AD9">
        <w:rPr>
          <w:rFonts w:ascii="Times New Roman" w:hAnsi="Times New Roman" w:cs="Times New Roman"/>
          <w:sz w:val="26"/>
          <w:szCs w:val="26"/>
        </w:rPr>
        <w:t xml:space="preserve">, 553 US 242, 255 n 1, 128 S Ct 1765, 170 L Ed 2d 616 (2008) (citing </w:t>
      </w:r>
      <w:r w:rsidR="00785AD9" w:rsidRPr="00785AD9">
        <w:rPr>
          <w:rFonts w:ascii="Times New Roman" w:hAnsi="Times New Roman" w:cs="Times New Roman"/>
          <w:i/>
          <w:iCs/>
          <w:sz w:val="26"/>
          <w:szCs w:val="26"/>
        </w:rPr>
        <w:t>Boykin v. Alabama</w:t>
      </w:r>
      <w:r w:rsidR="00785AD9" w:rsidRPr="00785AD9">
        <w:rPr>
          <w:rFonts w:ascii="Times New Roman" w:hAnsi="Times New Roman" w:cs="Times New Roman"/>
          <w:sz w:val="26"/>
          <w:szCs w:val="26"/>
        </w:rPr>
        <w:t>, 395 US 238, 89 S</w:t>
      </w:r>
      <w:r w:rsidR="00785AD9">
        <w:rPr>
          <w:rFonts w:ascii="Times New Roman" w:hAnsi="Times New Roman" w:cs="Times New Roman"/>
          <w:sz w:val="26"/>
          <w:szCs w:val="26"/>
        </w:rPr>
        <w:t xml:space="preserve"> </w:t>
      </w:r>
      <w:r w:rsidR="00785AD9" w:rsidRPr="00785AD9">
        <w:rPr>
          <w:rFonts w:ascii="Times New Roman" w:hAnsi="Times New Roman" w:cs="Times New Roman"/>
          <w:sz w:val="26"/>
          <w:szCs w:val="26"/>
        </w:rPr>
        <w:t>Ct 1709, 23 L</w:t>
      </w:r>
      <w:r w:rsidR="00785AD9">
        <w:rPr>
          <w:rFonts w:ascii="Times New Roman" w:hAnsi="Times New Roman" w:cs="Times New Roman"/>
          <w:sz w:val="26"/>
          <w:szCs w:val="26"/>
        </w:rPr>
        <w:t xml:space="preserve"> </w:t>
      </w:r>
      <w:r w:rsidR="00785AD9" w:rsidRPr="00785AD9">
        <w:rPr>
          <w:rFonts w:ascii="Times New Roman" w:hAnsi="Times New Roman" w:cs="Times New Roman"/>
          <w:sz w:val="26"/>
          <w:szCs w:val="26"/>
        </w:rPr>
        <w:t>Ed</w:t>
      </w:r>
      <w:r w:rsidR="00785AD9">
        <w:rPr>
          <w:rFonts w:ascii="Times New Roman" w:hAnsi="Times New Roman" w:cs="Times New Roman"/>
          <w:sz w:val="26"/>
          <w:szCs w:val="26"/>
        </w:rPr>
        <w:t xml:space="preserve"> </w:t>
      </w:r>
      <w:r w:rsidR="00785AD9" w:rsidRPr="00785AD9">
        <w:rPr>
          <w:rFonts w:ascii="Times New Roman" w:hAnsi="Times New Roman" w:cs="Times New Roman"/>
          <w:sz w:val="26"/>
          <w:szCs w:val="26"/>
        </w:rPr>
        <w:t>2d 274 (1969)</w:t>
      </w:r>
      <w:r w:rsidR="00785AD9">
        <w:rPr>
          <w:rFonts w:ascii="Times New Roman" w:hAnsi="Times New Roman" w:cs="Times New Roman"/>
          <w:sz w:val="26"/>
          <w:szCs w:val="26"/>
        </w:rPr>
        <w:t xml:space="preserve">).  </w:t>
      </w:r>
      <w:r w:rsidR="00C3298B">
        <w:rPr>
          <w:rFonts w:ascii="Times New Roman" w:hAnsi="Times New Roman" w:cs="Times New Roman"/>
          <w:sz w:val="26"/>
          <w:szCs w:val="26"/>
        </w:rPr>
        <w:t xml:space="preserve">To deny Defendant a hearing would be to deny him </w:t>
      </w:r>
      <w:r w:rsidR="00D83A6E">
        <w:rPr>
          <w:rFonts w:ascii="Times New Roman" w:hAnsi="Times New Roman" w:cs="Times New Roman"/>
          <w:sz w:val="26"/>
          <w:szCs w:val="26"/>
        </w:rPr>
        <w:t>the process he is due, which he has not waived.</w:t>
      </w:r>
    </w:p>
    <w:p w14:paraId="7C750E83" w14:textId="77777777" w:rsidR="00D83A6E" w:rsidRDefault="00D83A6E">
      <w:pPr>
        <w:spacing w:line="240"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2EE8D00A" w14:textId="2EE75A04" w:rsidR="00C3298B" w:rsidRPr="00C3298B" w:rsidRDefault="00C3298B" w:rsidP="00C3298B">
      <w:pPr>
        <w:spacing w:line="480" w:lineRule="auto"/>
        <w:jc w:val="center"/>
        <w:rPr>
          <w:rFonts w:ascii="Times New Roman" w:hAnsi="Times New Roman" w:cs="Times New Roman"/>
          <w:b/>
          <w:bCs/>
          <w:sz w:val="26"/>
          <w:szCs w:val="26"/>
        </w:rPr>
      </w:pPr>
      <w:r w:rsidRPr="00C3298B">
        <w:rPr>
          <w:rFonts w:ascii="Times New Roman" w:hAnsi="Times New Roman" w:cs="Times New Roman"/>
          <w:b/>
          <w:bCs/>
          <w:sz w:val="26"/>
          <w:szCs w:val="26"/>
        </w:rPr>
        <w:lastRenderedPageBreak/>
        <w:t>CONCLUSION</w:t>
      </w:r>
    </w:p>
    <w:p w14:paraId="0E93E086" w14:textId="77777777" w:rsidR="00C3298B" w:rsidRDefault="00C3298B" w:rsidP="00C3298B">
      <w:pPr>
        <w:spacing w:line="480" w:lineRule="auto"/>
        <w:rPr>
          <w:rFonts w:cs="Times New Roman"/>
          <w:sz w:val="26"/>
          <w:szCs w:val="26"/>
        </w:rPr>
      </w:pPr>
      <w:r>
        <w:rPr>
          <w:rFonts w:ascii="Times New Roman" w:hAnsi="Times New Roman" w:cs="Times New Roman"/>
          <w:sz w:val="26"/>
          <w:szCs w:val="26"/>
        </w:rPr>
        <w:tab/>
        <w:t>For the foregoing reasons, and for the reasons stated in Defendant’s Motion for Release, this court should conduct a hearing expeditiously and order Defendant to be released from conditions that constitute an ongoing violation of his state and federal constitutional rights.</w:t>
      </w:r>
    </w:p>
    <w:p w14:paraId="136849B9" w14:textId="77777777" w:rsidR="00C3298B" w:rsidRPr="00B25E01" w:rsidRDefault="00C3298B" w:rsidP="00C3298B">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u w:val="single"/>
        </w:rPr>
        <w:t>/s/</w:t>
      </w:r>
      <w:r w:rsidRPr="00B25E01">
        <w:rPr>
          <w:rFonts w:ascii="Times New Roman" w:hAnsi="Times New Roman" w:cs="Times New Roman"/>
          <w:sz w:val="26"/>
          <w:szCs w:val="26"/>
          <w:u w:val="single"/>
        </w:rPr>
        <w:tab/>
        <w:t>Andy Simrin</w:t>
      </w:r>
      <w:r>
        <w:rPr>
          <w:rFonts w:ascii="Times New Roman" w:hAnsi="Times New Roman" w:cs="Times New Roman"/>
          <w:sz w:val="26"/>
          <w:szCs w:val="26"/>
          <w:u w:val="single"/>
        </w:rPr>
        <w:tab/>
      </w:r>
      <w:r w:rsidRPr="00B25E01">
        <w:rPr>
          <w:rFonts w:ascii="Times New Roman" w:hAnsi="Times New Roman" w:cs="Times New Roman"/>
          <w:sz w:val="26"/>
          <w:szCs w:val="26"/>
          <w:u w:val="single"/>
        </w:rPr>
        <w:tab/>
      </w:r>
      <w:r w:rsidRPr="00B25E01">
        <w:rPr>
          <w:rFonts w:ascii="Times New Roman" w:hAnsi="Times New Roman" w:cs="Times New Roman"/>
          <w:sz w:val="26"/>
          <w:szCs w:val="26"/>
        </w:rPr>
        <w:t xml:space="preserve"> </w:t>
      </w:r>
    </w:p>
    <w:p w14:paraId="22E0F009" w14:textId="77777777" w:rsidR="00C3298B" w:rsidRPr="00B25E01" w:rsidRDefault="00C3298B" w:rsidP="00C3298B">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 xml:space="preserve">Andy </w:t>
      </w:r>
      <w:proofErr w:type="gramStart"/>
      <w:r w:rsidRPr="00B25E01">
        <w:rPr>
          <w:rFonts w:ascii="Times New Roman" w:hAnsi="Times New Roman" w:cs="Times New Roman"/>
          <w:sz w:val="26"/>
          <w:szCs w:val="26"/>
        </w:rPr>
        <w:t>Simrin  #</w:t>
      </w:r>
      <w:proofErr w:type="gramEnd"/>
      <w:r w:rsidRPr="00B25E01">
        <w:rPr>
          <w:rFonts w:ascii="Times New Roman" w:hAnsi="Times New Roman" w:cs="Times New Roman"/>
          <w:sz w:val="26"/>
          <w:szCs w:val="26"/>
        </w:rPr>
        <w:t>914310</w:t>
      </w:r>
    </w:p>
    <w:p w14:paraId="2A655B18" w14:textId="77777777" w:rsidR="00C3298B" w:rsidRPr="00B25E01" w:rsidRDefault="00C3298B" w:rsidP="00C3298B">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415 NW 18th Ave</w:t>
      </w:r>
    </w:p>
    <w:p w14:paraId="0D6468AF" w14:textId="77777777" w:rsidR="00C3298B" w:rsidRPr="00B25E01" w:rsidRDefault="00C3298B" w:rsidP="00C3298B">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Portland, OR  97209</w:t>
      </w:r>
    </w:p>
    <w:p w14:paraId="6010C78E" w14:textId="77777777" w:rsidR="00C3298B" w:rsidRPr="00B25E01" w:rsidRDefault="00C3298B" w:rsidP="00C3298B">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(503) 265-8940</w:t>
      </w:r>
    </w:p>
    <w:p w14:paraId="7EC48573" w14:textId="77777777" w:rsidR="00C3298B" w:rsidRPr="00B25E01" w:rsidRDefault="00C3298B" w:rsidP="00C3298B">
      <w:pPr>
        <w:spacing w:line="360" w:lineRule="auto"/>
        <w:ind w:left="3600"/>
        <w:rPr>
          <w:rFonts w:ascii="Times New Roman" w:hAnsi="Times New Roman" w:cs="Times New Roman"/>
          <w:sz w:val="26"/>
          <w:szCs w:val="26"/>
        </w:rPr>
      </w:pPr>
      <w:r w:rsidRPr="00B25E01">
        <w:rPr>
          <w:rFonts w:ascii="Times New Roman" w:hAnsi="Times New Roman" w:cs="Times New Roman"/>
          <w:sz w:val="26"/>
          <w:szCs w:val="26"/>
        </w:rPr>
        <w:t>andysimrin@oregonappeals.net</w:t>
      </w:r>
    </w:p>
    <w:p w14:paraId="54407813" w14:textId="77777777" w:rsidR="00C3298B" w:rsidRPr="00B25E01" w:rsidRDefault="00C3298B" w:rsidP="00C3298B">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Attorney for Defendant</w:t>
      </w:r>
    </w:p>
    <w:p w14:paraId="536A793B" w14:textId="6ACDE27A" w:rsidR="00C3298B" w:rsidRPr="00F96E10" w:rsidRDefault="00C3298B" w:rsidP="00C3298B">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Ryan Monaco</w:t>
      </w:r>
      <w:r>
        <w:rPr>
          <w:rFonts w:ascii="Times New Roman" w:hAnsi="Times New Roman" w:cs="Times New Roman"/>
          <w:sz w:val="26"/>
          <w:szCs w:val="26"/>
        </w:rPr>
        <w:t xml:space="preserve"> </w:t>
      </w:r>
    </w:p>
    <w:sectPr w:rsidR="00C3298B" w:rsidRPr="00F96E10" w:rsidSect="007B44C9">
      <w:headerReference w:type="default" r:id="rId7"/>
      <w:footerReference w:type="default" r:id="rId8"/>
      <w:pgSz w:w="12240" w:h="15840" w:code="1"/>
      <w:pgMar w:top="1440" w:right="1440" w:bottom="144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4F96F" w14:textId="77777777" w:rsidR="000918A6" w:rsidRDefault="000918A6">
      <w:pPr>
        <w:spacing w:line="240" w:lineRule="auto"/>
      </w:pPr>
      <w:r>
        <w:separator/>
      </w:r>
    </w:p>
  </w:endnote>
  <w:endnote w:type="continuationSeparator" w:id="0">
    <w:p w14:paraId="2075DDB8" w14:textId="77777777" w:rsidR="000918A6" w:rsidRDefault="00091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Layout w:type="fixed"/>
      <w:tblLook w:val="0000" w:firstRow="0" w:lastRow="0" w:firstColumn="0" w:lastColumn="0" w:noHBand="0" w:noVBand="0"/>
    </w:tblPr>
    <w:tblGrid>
      <w:gridCol w:w="5310"/>
      <w:gridCol w:w="4266"/>
    </w:tblGrid>
    <w:tr w:rsidR="005927BC" w:rsidRPr="00776BE9" w14:paraId="5C9EEF8B" w14:textId="77777777" w:rsidTr="00DC30D7">
      <w:trPr>
        <w:trHeight w:val="700"/>
      </w:trPr>
      <w:tc>
        <w:tcPr>
          <w:tcW w:w="5310" w:type="dxa"/>
          <w:shd w:val="clear" w:color="auto" w:fill="auto"/>
        </w:tcPr>
        <w:p w14:paraId="4A5CE900" w14:textId="63E0920B" w:rsidR="005927BC" w:rsidRPr="00776BE9" w:rsidRDefault="007825A2" w:rsidP="007B44C9">
          <w:pPr>
            <w:pStyle w:val="Footer"/>
            <w:spacing w:line="240" w:lineRule="auto"/>
            <w:rPr>
              <w:rFonts w:ascii="Times New Roman" w:hAnsi="Times New Roman" w:cs="Times New Roman"/>
              <w:b/>
            </w:rPr>
          </w:pPr>
          <w:r w:rsidRPr="00776BE9">
            <w:rPr>
              <w:rFonts w:ascii="Times New Roman" w:hAnsi="Times New Roman" w:cs="Times New Roman"/>
              <w:snapToGrid w:val="0"/>
            </w:rPr>
            <w:fldChar w:fldCharType="begin"/>
          </w:r>
          <w:r w:rsidRPr="00776BE9">
            <w:rPr>
              <w:rFonts w:ascii="Times New Roman" w:hAnsi="Times New Roman" w:cs="Times New Roman"/>
              <w:snapToGrid w:val="0"/>
            </w:rPr>
            <w:instrText xml:space="preserve"> PAGE </w:instrText>
          </w:r>
          <w:r w:rsidRPr="00776BE9">
            <w:rPr>
              <w:rFonts w:ascii="Times New Roman" w:hAnsi="Times New Roman" w:cs="Times New Roman"/>
              <w:snapToGrid w:val="0"/>
            </w:rPr>
            <w:fldChar w:fldCharType="separate"/>
          </w:r>
          <w:r w:rsidR="00191550">
            <w:rPr>
              <w:rFonts w:ascii="Times New Roman" w:hAnsi="Times New Roman" w:cs="Times New Roman"/>
              <w:noProof/>
              <w:snapToGrid w:val="0"/>
            </w:rPr>
            <w:t>1</w:t>
          </w:r>
          <w:r w:rsidRPr="00776BE9">
            <w:rPr>
              <w:rFonts w:ascii="Times New Roman" w:hAnsi="Times New Roman" w:cs="Times New Roman"/>
              <w:snapToGrid w:val="0"/>
            </w:rPr>
            <w:fldChar w:fldCharType="end"/>
          </w:r>
          <w:r w:rsidRPr="00776BE9">
            <w:rPr>
              <w:rFonts w:ascii="Times New Roman" w:hAnsi="Times New Roman" w:cs="Times New Roman"/>
              <w:snapToGrid w:val="0"/>
            </w:rPr>
            <w:t xml:space="preserve"> -</w:t>
          </w:r>
          <w:r w:rsidR="00AA3BDD">
            <w:rPr>
              <w:rFonts w:ascii="Times New Roman" w:hAnsi="Times New Roman" w:cs="Times New Roman"/>
              <w:snapToGrid w:val="0"/>
            </w:rPr>
            <w:t xml:space="preserve">DEFENDANT’S </w:t>
          </w:r>
          <w:r w:rsidR="009C6DA1">
            <w:rPr>
              <w:rFonts w:ascii="Times New Roman" w:hAnsi="Times New Roman" w:cs="Times New Roman"/>
              <w:snapToGrid w:val="0"/>
            </w:rPr>
            <w:t xml:space="preserve">SUPPLEMENTAL </w:t>
          </w:r>
          <w:r w:rsidR="00FD01AB">
            <w:rPr>
              <w:rFonts w:ascii="Times New Roman" w:hAnsi="Times New Roman" w:cs="Times New Roman"/>
              <w:snapToGrid w:val="0"/>
            </w:rPr>
            <w:t>MEMORANDUM</w:t>
          </w:r>
        </w:p>
      </w:tc>
      <w:tc>
        <w:tcPr>
          <w:tcW w:w="4266" w:type="dxa"/>
          <w:shd w:val="clear" w:color="auto" w:fill="auto"/>
        </w:tcPr>
        <w:p w14:paraId="69637F83" w14:textId="77777777" w:rsidR="006B1FC2" w:rsidRPr="00776BE9" w:rsidRDefault="006B1FC2" w:rsidP="007B44C9">
          <w:pPr>
            <w:pStyle w:val="FirmName"/>
            <w:spacing w:line="240" w:lineRule="auto"/>
            <w:rPr>
              <w:rFonts w:ascii="Times New Roman" w:hAnsi="Times New Roman" w:cs="Times New Roman"/>
            </w:rPr>
          </w:pPr>
          <w:bookmarkStart w:id="2" w:name="FirmName"/>
          <w:bookmarkEnd w:id="2"/>
          <w:r w:rsidRPr="00776BE9">
            <w:rPr>
              <w:rFonts w:ascii="Times New Roman" w:hAnsi="Times New Roman" w:cs="Times New Roman"/>
            </w:rPr>
            <w:t>Andy Simrin</w:t>
          </w:r>
          <w:r w:rsidR="00776BE9" w:rsidRPr="00776BE9">
            <w:rPr>
              <w:rFonts w:ascii="Times New Roman" w:hAnsi="Times New Roman" w:cs="Times New Roman"/>
            </w:rPr>
            <w:t xml:space="preserve"> PC</w:t>
          </w:r>
        </w:p>
        <w:p w14:paraId="291FAE9D" w14:textId="77777777" w:rsidR="006B1FC2" w:rsidRPr="00776BE9" w:rsidRDefault="00776BE9" w:rsidP="007B44C9">
          <w:pPr>
            <w:pStyle w:val="FirmName"/>
            <w:spacing w:line="240" w:lineRule="auto"/>
            <w:rPr>
              <w:rFonts w:ascii="Times New Roman" w:hAnsi="Times New Roman" w:cs="Times New Roman"/>
            </w:rPr>
          </w:pPr>
          <w:r w:rsidRPr="00776BE9">
            <w:rPr>
              <w:rFonts w:ascii="Times New Roman" w:hAnsi="Times New Roman" w:cs="Times New Roman"/>
            </w:rPr>
            <w:t>405 NW 18th Ave</w:t>
          </w:r>
        </w:p>
        <w:p w14:paraId="4F51A20A" w14:textId="77777777" w:rsidR="007B44C9" w:rsidRDefault="00776BE9" w:rsidP="007B44C9">
          <w:pPr>
            <w:pStyle w:val="FirmName"/>
            <w:spacing w:line="240" w:lineRule="auto"/>
            <w:rPr>
              <w:rFonts w:ascii="Times New Roman" w:hAnsi="Times New Roman" w:cs="Times New Roman"/>
            </w:rPr>
          </w:pPr>
          <w:r w:rsidRPr="00776BE9">
            <w:rPr>
              <w:rFonts w:ascii="Times New Roman" w:hAnsi="Times New Roman" w:cs="Times New Roman"/>
            </w:rPr>
            <w:t>Portland</w:t>
          </w:r>
          <w:r w:rsidR="006B1FC2" w:rsidRPr="00776BE9">
            <w:rPr>
              <w:rFonts w:ascii="Times New Roman" w:hAnsi="Times New Roman" w:cs="Times New Roman"/>
            </w:rPr>
            <w:t>, OR  97</w:t>
          </w:r>
          <w:r w:rsidRPr="00776BE9">
            <w:rPr>
              <w:rFonts w:ascii="Times New Roman" w:hAnsi="Times New Roman" w:cs="Times New Roman"/>
            </w:rPr>
            <w:t>209</w:t>
          </w:r>
        </w:p>
        <w:p w14:paraId="5D1A7F9F" w14:textId="4121F8C6" w:rsidR="005927BC" w:rsidRPr="00776BE9" w:rsidRDefault="00B94482" w:rsidP="007B44C9">
          <w:pPr>
            <w:pStyle w:val="FirmName"/>
            <w:spacing w:line="240" w:lineRule="auto"/>
            <w:rPr>
              <w:rFonts w:ascii="Times New Roman" w:hAnsi="Times New Roman" w:cs="Times New Roman"/>
            </w:rPr>
          </w:pPr>
          <w:r w:rsidRPr="00776BE9">
            <w:rPr>
              <w:rFonts w:ascii="Times New Roman" w:hAnsi="Times New Roman" w:cs="Times New Roman"/>
            </w:rPr>
            <w:t xml:space="preserve">(503) </w:t>
          </w:r>
          <w:r w:rsidR="00776BE9" w:rsidRPr="00776BE9">
            <w:rPr>
              <w:rFonts w:ascii="Times New Roman" w:hAnsi="Times New Roman" w:cs="Times New Roman"/>
            </w:rPr>
            <w:t>265-8940</w:t>
          </w:r>
        </w:p>
      </w:tc>
    </w:tr>
  </w:tbl>
  <w:p w14:paraId="5858A034" w14:textId="77777777" w:rsidR="005927BC" w:rsidRPr="00776BE9" w:rsidRDefault="005927BC" w:rsidP="00776BE9">
    <w:pPr>
      <w:pStyle w:val="Footer"/>
      <w:spacing w:line="120" w:lineRule="exac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1D4A" w14:textId="77777777" w:rsidR="000918A6" w:rsidRDefault="000918A6">
      <w:pPr>
        <w:spacing w:line="240" w:lineRule="auto"/>
      </w:pPr>
      <w:r>
        <w:separator/>
      </w:r>
    </w:p>
  </w:footnote>
  <w:footnote w:type="continuationSeparator" w:id="0">
    <w:p w14:paraId="71305CA5" w14:textId="77777777" w:rsidR="000918A6" w:rsidRDefault="00091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AADF" w14:textId="77777777" w:rsidR="00345389" w:rsidRDefault="002918FB">
    <w:pPr>
      <w:pStyle w:val="Header"/>
    </w:pPr>
    <w:r>
      <w:rPr>
        <w:noProof/>
      </w:rPr>
      <mc:AlternateContent>
        <mc:Choice Requires="wps">
          <w:drawing>
            <wp:anchor distT="0" distB="0" distL="114300" distR="114300" simplePos="0" relativeHeight="251659264" behindDoc="0" locked="0" layoutInCell="1" allowOverlap="1" wp14:anchorId="25A605D2" wp14:editId="54F9730C">
              <wp:simplePos x="0" y="0"/>
              <wp:positionH relativeFrom="margin">
                <wp:posOffset>-656289</wp:posOffset>
              </wp:positionH>
              <wp:positionV relativeFrom="margin">
                <wp:posOffset>8221</wp:posOffset>
              </wp:positionV>
              <wp:extent cx="457200" cy="8165432"/>
              <wp:effectExtent l="0" t="0" r="0" b="127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65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7EB50"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w:t>
                          </w:r>
                        </w:p>
                        <w:p w14:paraId="360B07E6"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w:t>
                          </w:r>
                        </w:p>
                        <w:p w14:paraId="603ABFFF"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3</w:t>
                          </w:r>
                        </w:p>
                        <w:p w14:paraId="48E4716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4</w:t>
                          </w:r>
                        </w:p>
                        <w:p w14:paraId="7EDE649C"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5</w:t>
                          </w:r>
                        </w:p>
                        <w:p w14:paraId="34C6B4BA"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6</w:t>
                          </w:r>
                        </w:p>
                        <w:p w14:paraId="4610076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7</w:t>
                          </w:r>
                        </w:p>
                        <w:p w14:paraId="6FF7FCD6"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8</w:t>
                          </w:r>
                        </w:p>
                        <w:p w14:paraId="17AB8D77"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9</w:t>
                          </w:r>
                        </w:p>
                        <w:p w14:paraId="2B5EBB1D"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10</w:t>
                          </w:r>
                        </w:p>
                        <w:p w14:paraId="6C3D19C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11</w:t>
                          </w:r>
                        </w:p>
                        <w:p w14:paraId="7F13DE9B"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12</w:t>
                          </w:r>
                        </w:p>
                        <w:p w14:paraId="384FDA5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13</w:t>
                          </w:r>
                        </w:p>
                        <w:p w14:paraId="6A791DF0"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14</w:t>
                          </w:r>
                        </w:p>
                        <w:p w14:paraId="437E7F9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15</w:t>
                          </w:r>
                        </w:p>
                        <w:p w14:paraId="66F0AF6C"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16</w:t>
                          </w:r>
                        </w:p>
                        <w:p w14:paraId="3A86A298"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17</w:t>
                          </w:r>
                        </w:p>
                        <w:p w14:paraId="5A186B52"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18</w:t>
                          </w:r>
                        </w:p>
                        <w:p w14:paraId="75DA1B47"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19</w:t>
                          </w:r>
                        </w:p>
                        <w:p w14:paraId="4B55619D"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20</w:t>
                          </w:r>
                        </w:p>
                        <w:p w14:paraId="258E9064"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21</w:t>
                          </w:r>
                        </w:p>
                        <w:p w14:paraId="69460353"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22</w:t>
                          </w:r>
                        </w:p>
                        <w:p w14:paraId="3DFA6D6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23</w:t>
                          </w:r>
                        </w:p>
                        <w:p w14:paraId="4B44EC7A"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24</w:t>
                          </w:r>
                        </w:p>
                        <w:p w14:paraId="2E30E428"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25</w:t>
                          </w:r>
                        </w:p>
                        <w:p w14:paraId="24AD9239" w14:textId="77777777" w:rsidR="00345389" w:rsidRPr="00DC30D7" w:rsidRDefault="00345389" w:rsidP="00F44DC9">
                          <w:pPr>
                            <w:spacing w:line="480" w:lineRule="auto"/>
                            <w:jc w:val="right"/>
                            <w:rPr>
                              <w:rFonts w:ascii="Times New Roman" w:hAnsi="Times New Roman" w:cs="Times New Roman"/>
                              <w:sz w:val="26"/>
                              <w:szCs w:val="2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5A605D2" id="_x0000_t202" coordsize="21600,21600" o:spt="202" path="m,l,21600r21600,l21600,xe">
              <v:stroke joinstyle="miter"/>
              <v:path gradientshapeok="t" o:connecttype="rect"/>
            </v:shapetype>
            <v:shape id="LineNumbers" o:spid="_x0000_s1026" type="#_x0000_t202" style="position:absolute;margin-left:-51.7pt;margin-top:.65pt;width:36pt;height:64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3s0+AEAANQDAAAOAAAAZHJzL2Uyb0RvYy54bWysU8Fu2zAMvQ/YPwi6L06ytCuMOEWXIsOA&#13;&#10;rB3Q7QNkWY6FSaJGKbGzrx8lJ1m33orpIFAS+cj3SC1vB2vYQWHQ4Co+m0w5U05Co92u4t+/bd7d&#13;&#10;cBaicI0w4FTFjyrw29XbN8vel2oOHZhGISMQF8reV7yL0ZdFEWSnrAgT8MrRYwtoRaQj7ooGRU/o&#13;&#10;1hTz6fS66AEbjyBVCHR7Pz7yVcZvWyXjY9sGFZmpONUW8455r9NerJai3KHwnZanMsQrqrBCO0p6&#13;&#10;gboXUbA96hdQVkuEAG2cSLAFtK2WKnMgNrPpP2yeOuFV5kLiBH+RKfw/WPlw+IpMNxVfcOaEpRZt&#13;&#10;tVMPe1tTU5M8vQ8leT158ovDRxiozZlq8FuQPwJzsO6E26k7ROg7JRoqb5Yii2ehI05IIHX/BRrK&#13;&#10;I/YRMtDQok3akRqM0KlNx0tr1BCZpMvF1QdqN2eSnm5m11eL9/OcQpTnaI8hflJgWTIqjtT6jC4O&#13;&#10;2xBTNaI8u6RkAYxuNtqYfMBdvTbIDoLGZJPXCf0vN+OSs4MUNiKmm0wzMRs5xqEeTrLV0ByJMMI4&#13;&#10;dvRNyOgAf3HW08hVPPzcC1Scmc+OREvzeTbwbNRnQzhJoRWPnI3mOuY5Hku6IzFbnXkm1cfMp9po&#13;&#10;dDL905in2Xx+zl5/PuPqNwAAAP//AwBQSwMEFAAGAAgAAAAhALAB25fiAAAAEAEAAA8AAABkcnMv&#13;&#10;ZG93bnJldi54bWxMT8tOwzAQvCPxD9YicUGp80ClSuNU0MANDi1Vz27sJlHjdWQ7Tfr3LCe4rDSa&#13;&#10;x84Um9n07Kqd7ywKSBYxMI21VR02Ag7fH9EKmA8SlewtagE37WFT3t8VMld2wp2+7kPDKAR9LgW0&#13;&#10;IQw5575utZF+YQeNxJ2tMzIQdA1XTk4UbnqexvGSG9khfWjloLetri/70QhYVm6cdrh9qg7vn/Jr&#13;&#10;aNLj2+0oxOPDXK3pvK6BBT2HPwf8bqD+UFKxkx1RedYLiJI4eyYtMRkwEkRZQvhEOF29pMDLgv8f&#13;&#10;Uv4AAAD//wMAUEsBAi0AFAAGAAgAAAAhALaDOJL+AAAA4QEAABMAAAAAAAAAAAAAAAAAAAAAAFtD&#13;&#10;b250ZW50X1R5cGVzXS54bWxQSwECLQAUAAYACAAAACEAOP0h/9YAAACUAQAACwAAAAAAAAAAAAAA&#13;&#10;AAAvAQAAX3JlbHMvLnJlbHNQSwECLQAUAAYACAAAACEAoFN7NPgBAADUAwAADgAAAAAAAAAAAAAA&#13;&#10;AAAuAgAAZHJzL2Uyb0RvYy54bWxQSwECLQAUAAYACAAAACEAsAHbl+IAAAAQAQAADwAAAAAAAAAA&#13;&#10;AAAAAABSBAAAZHJzL2Rvd25yZXYueG1sUEsFBgAAAAAEAAQA8wAAAGEFAAAAAA==&#13;&#10;" stroked="f">
              <v:textbox inset="0,0,0,0">
                <w:txbxContent>
                  <w:p w14:paraId="04F7EB50"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w:t>
                    </w:r>
                  </w:p>
                  <w:p w14:paraId="360B07E6"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w:t>
                    </w:r>
                  </w:p>
                  <w:p w14:paraId="603ABFFF"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3</w:t>
                    </w:r>
                  </w:p>
                  <w:p w14:paraId="48E4716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4</w:t>
                    </w:r>
                  </w:p>
                  <w:p w14:paraId="7EDE649C"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5</w:t>
                    </w:r>
                  </w:p>
                  <w:p w14:paraId="34C6B4BA"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6</w:t>
                    </w:r>
                  </w:p>
                  <w:p w14:paraId="4610076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7</w:t>
                    </w:r>
                  </w:p>
                  <w:p w14:paraId="6FF7FCD6"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8</w:t>
                    </w:r>
                  </w:p>
                  <w:p w14:paraId="17AB8D77"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9</w:t>
                    </w:r>
                  </w:p>
                  <w:p w14:paraId="2B5EBB1D"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10</w:t>
                    </w:r>
                  </w:p>
                  <w:p w14:paraId="6C3D19C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11</w:t>
                    </w:r>
                  </w:p>
                  <w:p w14:paraId="7F13DE9B"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12</w:t>
                    </w:r>
                  </w:p>
                  <w:p w14:paraId="384FDA5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13</w:t>
                    </w:r>
                  </w:p>
                  <w:p w14:paraId="6A791DF0"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14</w:t>
                    </w:r>
                  </w:p>
                  <w:p w14:paraId="437E7F9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15</w:t>
                    </w:r>
                  </w:p>
                  <w:p w14:paraId="66F0AF6C"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16</w:t>
                    </w:r>
                  </w:p>
                  <w:p w14:paraId="3A86A298"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17</w:t>
                    </w:r>
                  </w:p>
                  <w:p w14:paraId="5A186B52"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18</w:t>
                    </w:r>
                  </w:p>
                  <w:p w14:paraId="75DA1B47"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19</w:t>
                    </w:r>
                  </w:p>
                  <w:p w14:paraId="4B55619D"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20</w:t>
                    </w:r>
                  </w:p>
                  <w:p w14:paraId="258E9064"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21</w:t>
                    </w:r>
                  </w:p>
                  <w:p w14:paraId="69460353"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22</w:t>
                    </w:r>
                  </w:p>
                  <w:p w14:paraId="3DFA6D6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23</w:t>
                    </w:r>
                  </w:p>
                  <w:p w14:paraId="4B44EC7A"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24</w:t>
                    </w:r>
                  </w:p>
                  <w:p w14:paraId="2E30E428"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25</w:t>
                    </w:r>
                  </w:p>
                  <w:p w14:paraId="24AD9239" w14:textId="77777777" w:rsidR="00345389" w:rsidRPr="00DC30D7" w:rsidRDefault="00345389" w:rsidP="00F44DC9">
                    <w:pPr>
                      <w:spacing w:line="480" w:lineRule="auto"/>
                      <w:jc w:val="right"/>
                      <w:rPr>
                        <w:rFonts w:ascii="Times New Roman" w:hAnsi="Times New Roman" w:cs="Times New Roman"/>
                        <w:sz w:val="26"/>
                        <w:szCs w:val="26"/>
                      </w:rPr>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694E8713" wp14:editId="04A0C96F">
              <wp:simplePos x="0" y="0"/>
              <wp:positionH relativeFrom="margin">
                <wp:posOffset>5943600</wp:posOffset>
              </wp:positionH>
              <wp:positionV relativeFrom="page">
                <wp:posOffset>0</wp:posOffset>
              </wp:positionV>
              <wp:extent cx="0" cy="10058400"/>
              <wp:effectExtent l="9525" t="9525" r="9525" b="9525"/>
              <wp:wrapNone/>
              <wp:docPr id="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E02E" id="RightBorder" o:spid="_x0000_s1026" style="position:absolute;z-index:2516582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TxLHgIAADkEAAAOAAAAZHJzL2Uyb0RvYy54bWysU02P2jAQvVfqf7B8hyRsoBARVi2BXrYt&#13;&#10;6m5/gLGdxKpjW7YhoKr/vWMHaGkvVdUcHH/MPL95b7x8PHUSHbl1QqsSZ+MUI66oZkI1Jf7ysh3N&#13;&#10;MXKeKEakVrzEZ+7w4+r1q2VvCj7RrZaMWwQgyhW9KXHrvSmSxNGWd8SNteEKDmttO+JhaZuEWdID&#13;&#10;eieTSZrOkl5bZqym3DnYrYZDvIr4dc2p/1TXjnskSwzcfBxtHPdhTFZLUjSWmFbQCw3yDyw6IhRc&#13;&#10;eoOqiCfoYMUfUJ2gVjtd+zHVXaLrWlAea4BqsvS3ap5bYnisBcRx5iaT+3+w9ONxZ5FgJX7ASJEO&#13;&#10;LPosmta/A1m5xagVjPHgbFCqN66AhLXa2VArPaln86TpV4eUXrdENTwyfjkbgIkZyV1KWDgD9+37&#13;&#10;D5pBDDl4HWU71bYLkCAIOkV3zjd3+MkjOmxS2M3SdDrP02hdQoprprHOv+e6Q2FSYilUUI4U5Pjk&#13;&#10;PHCH0GtI2FZ6K6SM7kuF+hIvppNpTHBaChYOQ5izzX4tLTqS0D/xC0IA2F2Y1QfFIljLCdtc5p4I&#13;&#10;OcwhXqqAB7UAnctsaJBvi3SxmW/m+SifzDajPK2q0dvtOh/NttmbafVQrddV9j1Qy/JisCOwuzZr&#13;&#10;lv9dM1yezdBmt3a9yZDco8cSgez1H0lHM4N/QyfsNTvvbFAj+Ar9GYMvbyk8gF/XMerni1/9AAAA&#13;&#10;//8DAFBLAwQUAAYACAAAACEAncTpWt8AAAAOAQAADwAAAGRycy9kb3ducmV2LnhtbExPQU7DMBC8&#13;&#10;I/EHa5G4UQcKUUnjVKgV6gEJlcID3HhJQuJ1ZLt14PUs4gCXkUYzOztTriY7iBP60DlScD3LQCDV&#13;&#10;znTUKHh7fbxagAhRk9GDI1TwiQFW1flZqQvjEr3gaR8bwSEUCq2gjXEspAx1i1aHmRuRWHt33urI&#13;&#10;1DfSeJ043A7yJstyaXVH/KHVI65brPv90Sr42j7PN370KX2st/0T7XTqp1ypy4tps2R4WIKIOMW/&#13;&#10;C/jZwP2h4mIHdyQTxKDgfp7zoKiAkeVfemDf3eI2A1mV8v+M6hsAAP//AwBQSwECLQAUAAYACAAA&#13;&#10;ACEAtoM4kv4AAADhAQAAEwAAAAAAAAAAAAAAAAAAAAAAW0NvbnRlbnRfVHlwZXNdLnhtbFBLAQIt&#13;&#10;ABQABgAIAAAAIQA4/SH/1gAAAJQBAAALAAAAAAAAAAAAAAAAAC8BAABfcmVscy8ucmVsc1BLAQIt&#13;&#10;ABQABgAIAAAAIQDFuTxLHgIAADkEAAAOAAAAAAAAAAAAAAAAAC4CAABkcnMvZTJvRG9jLnhtbFBL&#13;&#10;AQItABQABgAIAAAAIQCdxOla3wAAAA4BAAAPAAAAAAAAAAAAAAAAAHgEAABkcnMvZG93bnJldi54&#13;&#10;bWxQSwUGAAAAAAQABADzAAAAhAUAAAAA&#13;&#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275C5F86" wp14:editId="1DC95400">
              <wp:simplePos x="0" y="0"/>
              <wp:positionH relativeFrom="margin">
                <wp:posOffset>-91440</wp:posOffset>
              </wp:positionH>
              <wp:positionV relativeFrom="page">
                <wp:posOffset>0</wp:posOffset>
              </wp:positionV>
              <wp:extent cx="0" cy="10058400"/>
              <wp:effectExtent l="13335" t="9525" r="5715" b="9525"/>
              <wp:wrapNone/>
              <wp:docPr id="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9DF2" id="LeftBorder2" o:spid="_x0000_s1026" style="position:absolute;z-index:2516572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WIQHAIAADkEAAAOAAAAZHJzL2Uyb0RvYy54bWysU1HP0jAUfTfxPzR9h204EBbGF93AF1SS&#13;&#10;7/MHlLZjjV3btIVBjP/d2w5Q9MUYeSjt7b1n555zu3w6dxKduHVCqxJn4xQjrqhmQh1K/OVlM5pj&#13;&#10;5DxRjEiteIkv3OGn1etXy94UfKJbLRm3CECUK3pT4tZ7UySJoy3viBtrwxVcNtp2xMPRHhJmSQ/o&#13;&#10;nUwmaTpLem2ZsZpy5yBaD5d4FfGbhlP/uWkc90iWGLj5uNq47sOarJakOFhiWkGvNMg/sOiIUPDR&#13;&#10;O1RNPEFHK/6A6gS12unGj6nuEt00gvLYA3STpb9189wSw2MvII4zd5nc/4Oln047iwQr8QQjRTqw&#13;&#10;aMsb/x5U5RZCrWCMB2eDUr1xBRRUamdDr/Ssns1W068OKV21RB14ZPxyMQATK5KHknBwBr637z9q&#13;&#10;Bjnk6HWU7dzYLkCCIOgc3bnc3eFnj+gQpBDN0nQ6z9NoXUKKW6Wxzn/gukNhU2IpVFCOFOS0dR64&#13;&#10;Q+otJYSV3ggpo/tSob7Ei+lkGgucloKFy5Dm7GFfSYtOJMxP/AUhAOwhzeqjYhGs5YStr3tPhBz2&#13;&#10;kC9VwINegM51NwzIt0W6WM/X83yUT2brUZ7W9ejdpspHs032dlq/qauqzr4HalleDHYEdrdhzfK/&#13;&#10;G4brsxnG7D6udxmSR/TYIpC9/UfS0czg3zAJe80uOxvUCL7CfMbk61sKD+DXc8z6+eJXPwAAAP//&#13;&#10;AwBQSwMEFAAGAAgAAAAhAIrHhJDgAAAADgEAAA8AAABkcnMvZG93bnJldi54bWxMT8tOwzAQvCPx&#13;&#10;D9YicWudQqiqNE6FWqEekBAUPmAbmyQkXke2Wwe+nkUc4LLSaB47U24mO4iz8aFzpGAxz0AYqp3u&#13;&#10;qFHw9vowW4EIEUnj4Mgo+DQBNtXlRYmFdolezPkQG8EhFApU0MY4FlKGujUWw9yNhph7d95iZOgb&#13;&#10;qT0mDreDvMmypbTYEX9ocTTb1tT94WQVfO2fbnd+9Cl9bPf9Iz1j6qelUtdX027N534NIpop/jng&#13;&#10;ZwP3h4qLHd2JdBCDgtkiz1mqgGcx/QuPrLtb5RnIqpT/Z1TfAAAA//8DAFBLAQItABQABgAIAAAA&#13;&#10;IQC2gziS/gAAAOEBAAATAAAAAAAAAAAAAAAAAAAAAABbQ29udGVudF9UeXBlc10ueG1sUEsBAi0A&#13;&#10;FAAGAAgAAAAhADj9If/WAAAAlAEAAAsAAAAAAAAAAAAAAAAALwEAAF9yZWxzLy5yZWxzUEsBAi0A&#13;&#10;FAAGAAgAAAAhALVhYhAcAgAAOQQAAA4AAAAAAAAAAAAAAAAALgIAAGRycy9lMm9Eb2MueG1sUEsB&#13;&#10;Ai0AFAAGAAgAAAAhAIrHhJDgAAAADgEAAA8AAAAAAAAAAAAAAAAAdgQAAGRycy9kb3ducmV2Lnht&#13;&#10;bFBLBQYAAAAABAAEAPMAAACDBQAAAAA=&#13;&#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4FA83FF1" wp14:editId="04A9E662">
              <wp:simplePos x="0" y="0"/>
              <wp:positionH relativeFrom="margin">
                <wp:posOffset>-45720</wp:posOffset>
              </wp:positionH>
              <wp:positionV relativeFrom="page">
                <wp:posOffset>0</wp:posOffset>
              </wp:positionV>
              <wp:extent cx="0" cy="10058400"/>
              <wp:effectExtent l="11430" t="9525" r="7620" b="9525"/>
              <wp:wrapNone/>
              <wp:docPr id="1" name="LeftBorder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27F2" id="LeftBorder1" o:spid="_x0000_s1026" style="position:absolute;z-index:2516561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sigGwIAADkEAAAOAAAAZHJzL2Uyb0RvYy54bWysU1HP0jAUfTfxPzR9h204EBbGF93AF1SS&#13;&#10;7/MHlLZjjV3btIVBjP/d2w5Q9MUYeSjt7b1n555zu3w6dxKduHVCqxJn4xQjrqhmQh1K/OVlM5pj&#13;&#10;5DxRjEiteIkv3OGn1etXy94UfKJbLRm3CECUK3pT4tZ7UySJoy3viBtrwxVcNtp2xMPRHhJmSQ/o&#13;&#10;nUwmaTpLem2ZsZpy5yBaD5d4FfGbhlP/uWkc90iWGLj5uNq47sOarJakOFhiWkGvNMg/sOiIUPDR&#13;&#10;O1RNPEFHK/6A6gS12unGj6nuEt00gvLYA3STpb9189wSw2MvII4zd5nc/4Oln047iwQD7zBSpAOL&#13;&#10;trzx70FVbiHUCsZ4cDYo1RtXQEGldjb0Ss/q2Ww1/eqQ0lVL1IFHxi8XAzCxInkoCQdn4Hv7/qNm&#13;&#10;kEOOXkfZzo3tAiQIgs7RncvdHX72iA5BCtEsTafzPI3WJaS4VRrr/AeuOxQ2JZZCBeVIQU5b54E7&#13;&#10;pN5SQljpjZAyui8V6ku8mE6mscBpKVi4DGnOHvaVtOhEwvzEXxACwB7SrD4qFsFaTtj6uvdEyGEP&#13;&#10;+VIFPOgF6Fx3w4B8W6SL9Xw9z0f5ZLYe5Wldj95tqnw022Rvp/Wbuqrq7HugluXFYEdgdxvWLP+7&#13;&#10;Ybg+m2HM7uN6lyF5RI8tAtnbfyQdzQz+DZOw1+yys0GN4CvMZ0y+vqXwAH49x6yfL371AwAA//8D&#13;&#10;AFBLAwQUAAYACAAAACEAsl6bH98AAAAMAQAADwAAAGRycy9kb3ducmV2LnhtbExPy07DMBC8I/EP&#13;&#10;1iJxax0KlCqNU6FWqIdKCAofsI1NEhKvI9utA1/PlgtcVhrNY2eK1Wh7cTI+tI4U3EwzEIYqp1uq&#13;&#10;Fby/PU0WIEJE0tg7Mgq+TIBVeXlRYK5doldz2sdacAiFHBU0MQ65lKFqjMUwdYMh5j6ctxgZ+lpq&#13;&#10;j4nDbS9nWTaXFlviDw0OZt2YqtsfrYLv7fPtxg8+pc/1ttvRC6ZunCt1fTVulnwelyCiGeOfA84b&#13;&#10;uD+UXOzgjqSD6BVMHmasVMCrmP1FB1bdL+4ykGUh/48ofwAAAP//AwBQSwECLQAUAAYACAAAACEA&#13;&#10;toM4kv4AAADhAQAAEwAAAAAAAAAAAAAAAAAAAAAAW0NvbnRlbnRfVHlwZXNdLnhtbFBLAQItABQA&#13;&#10;BgAIAAAAIQA4/SH/1gAAAJQBAAALAAAAAAAAAAAAAAAAAC8BAABfcmVscy8ucmVsc1BLAQItABQA&#13;&#10;BgAIAAAAIQByKsigGwIAADkEAAAOAAAAAAAAAAAAAAAAAC4CAABkcnMvZTJvRG9jLnhtbFBLAQIt&#13;&#10;ABQABgAIAAAAIQCyXpsf3wAAAAwBAAAPAAAAAAAAAAAAAAAAAHUEAABkcnMvZG93bnJldi54bWxQ&#13;&#10;SwUGAAAAAAQABADzAAAAgQUAAAAA&#13;&#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E4FBE"/>
    <w:multiLevelType w:val="hybridMultilevel"/>
    <w:tmpl w:val="E258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1"/>
    <w:docVar w:name="CourtName" w:val="IN THE COURT OF APPEALS OF THE STATE OF OREGON"/>
    <w:docVar w:name="FirmInFtr" w:val="-1"/>
    <w:docVar w:name="FirmInSigBlkStyle" w:val="2"/>
    <w:docVar w:name="FirstLineNum" w:val="1"/>
    <w:docVar w:name="FirstPleadingLine" w:val="1"/>
    <w:docVar w:name="Font" w:val="Courier New"/>
    <w:docVar w:name="FSigBlkYes" w:val="-1"/>
    <w:docVar w:name="FSignWith" w:val=" "/>
    <w:docVar w:name="FSummaryInFtr" w:val="-1"/>
    <w:docVar w:name="IncludeDate" w:val="-1"/>
    <w:docVar w:name="IncludeLineNumbers" w:val="-1"/>
    <w:docVar w:name="JudgeName" w:val="0"/>
    <w:docVar w:name="LeftBorderStyle" w:val="0"/>
    <w:docVar w:name="LineNumIncByOne" w:val="-1"/>
    <w:docVar w:name="LineSpacing" w:val="2"/>
    <w:docVar w:name="LinesPerPage" w:val="25"/>
    <w:docVar w:name="PageNumsInFtr" w:val="-1"/>
    <w:docVar w:name="RightBorderStyle" w:val="0"/>
  </w:docVars>
  <w:rsids>
    <w:rsidRoot w:val="00345389"/>
    <w:rsid w:val="000145D9"/>
    <w:rsid w:val="00024386"/>
    <w:rsid w:val="000266D1"/>
    <w:rsid w:val="00035A2F"/>
    <w:rsid w:val="00045384"/>
    <w:rsid w:val="00073A4B"/>
    <w:rsid w:val="00080CE5"/>
    <w:rsid w:val="000918A6"/>
    <w:rsid w:val="000948AD"/>
    <w:rsid w:val="000B1110"/>
    <w:rsid w:val="000C262E"/>
    <w:rsid w:val="000C4093"/>
    <w:rsid w:val="000F4325"/>
    <w:rsid w:val="00106455"/>
    <w:rsid w:val="001367AF"/>
    <w:rsid w:val="001409D4"/>
    <w:rsid w:val="0015248C"/>
    <w:rsid w:val="001569F3"/>
    <w:rsid w:val="00163A81"/>
    <w:rsid w:val="00177067"/>
    <w:rsid w:val="00191550"/>
    <w:rsid w:val="001943F6"/>
    <w:rsid w:val="001959B6"/>
    <w:rsid w:val="001A1A64"/>
    <w:rsid w:val="001D5974"/>
    <w:rsid w:val="00201880"/>
    <w:rsid w:val="00220B49"/>
    <w:rsid w:val="00236E6D"/>
    <w:rsid w:val="00246D13"/>
    <w:rsid w:val="002918FB"/>
    <w:rsid w:val="0029204C"/>
    <w:rsid w:val="00292D61"/>
    <w:rsid w:val="00294F4E"/>
    <w:rsid w:val="002A1A59"/>
    <w:rsid w:val="002C1A99"/>
    <w:rsid w:val="002C2AA0"/>
    <w:rsid w:val="002D5F01"/>
    <w:rsid w:val="002F1D1C"/>
    <w:rsid w:val="00327202"/>
    <w:rsid w:val="00345389"/>
    <w:rsid w:val="00350606"/>
    <w:rsid w:val="00363E62"/>
    <w:rsid w:val="00380737"/>
    <w:rsid w:val="003878BD"/>
    <w:rsid w:val="003A4935"/>
    <w:rsid w:val="003D5F53"/>
    <w:rsid w:val="00424DA2"/>
    <w:rsid w:val="0043676C"/>
    <w:rsid w:val="00457D25"/>
    <w:rsid w:val="00481010"/>
    <w:rsid w:val="004820CC"/>
    <w:rsid w:val="00485928"/>
    <w:rsid w:val="00487139"/>
    <w:rsid w:val="00494B01"/>
    <w:rsid w:val="004D1A6F"/>
    <w:rsid w:val="004F0CD3"/>
    <w:rsid w:val="004F14C7"/>
    <w:rsid w:val="00502DCA"/>
    <w:rsid w:val="005067C8"/>
    <w:rsid w:val="00521F2C"/>
    <w:rsid w:val="00550A25"/>
    <w:rsid w:val="005544C6"/>
    <w:rsid w:val="005568ED"/>
    <w:rsid w:val="005749AC"/>
    <w:rsid w:val="005927BC"/>
    <w:rsid w:val="005B1F7D"/>
    <w:rsid w:val="005C6746"/>
    <w:rsid w:val="005D0CDC"/>
    <w:rsid w:val="005E7C5D"/>
    <w:rsid w:val="006308D4"/>
    <w:rsid w:val="006332F1"/>
    <w:rsid w:val="00665898"/>
    <w:rsid w:val="00671366"/>
    <w:rsid w:val="00673441"/>
    <w:rsid w:val="00685461"/>
    <w:rsid w:val="00690B4F"/>
    <w:rsid w:val="00692F1F"/>
    <w:rsid w:val="00695D7B"/>
    <w:rsid w:val="006A6645"/>
    <w:rsid w:val="006B1FC2"/>
    <w:rsid w:val="006C23C7"/>
    <w:rsid w:val="006C30DD"/>
    <w:rsid w:val="006C410E"/>
    <w:rsid w:val="006F15BD"/>
    <w:rsid w:val="0072012C"/>
    <w:rsid w:val="00724142"/>
    <w:rsid w:val="00741C1A"/>
    <w:rsid w:val="00745106"/>
    <w:rsid w:val="007629E2"/>
    <w:rsid w:val="00765205"/>
    <w:rsid w:val="00776BE9"/>
    <w:rsid w:val="007822CE"/>
    <w:rsid w:val="007825A2"/>
    <w:rsid w:val="00785AD9"/>
    <w:rsid w:val="007A290C"/>
    <w:rsid w:val="007B44C9"/>
    <w:rsid w:val="007C4DCD"/>
    <w:rsid w:val="007C6351"/>
    <w:rsid w:val="007C7CA0"/>
    <w:rsid w:val="007D58C3"/>
    <w:rsid w:val="007D6AF2"/>
    <w:rsid w:val="007E7CD8"/>
    <w:rsid w:val="007F273B"/>
    <w:rsid w:val="00825619"/>
    <w:rsid w:val="00830488"/>
    <w:rsid w:val="0083236A"/>
    <w:rsid w:val="00837EB6"/>
    <w:rsid w:val="00856C9A"/>
    <w:rsid w:val="00862388"/>
    <w:rsid w:val="00880B18"/>
    <w:rsid w:val="0089653C"/>
    <w:rsid w:val="008B3992"/>
    <w:rsid w:val="008F48DA"/>
    <w:rsid w:val="00912E40"/>
    <w:rsid w:val="0091636C"/>
    <w:rsid w:val="00936F39"/>
    <w:rsid w:val="00963A3E"/>
    <w:rsid w:val="009642DD"/>
    <w:rsid w:val="00971E11"/>
    <w:rsid w:val="00977C19"/>
    <w:rsid w:val="009B66A1"/>
    <w:rsid w:val="009C0E65"/>
    <w:rsid w:val="009C5787"/>
    <w:rsid w:val="009C6DA1"/>
    <w:rsid w:val="009D5583"/>
    <w:rsid w:val="009E1CEF"/>
    <w:rsid w:val="00A12191"/>
    <w:rsid w:val="00A25C8C"/>
    <w:rsid w:val="00A93AE0"/>
    <w:rsid w:val="00AA3A6F"/>
    <w:rsid w:val="00AA3BDD"/>
    <w:rsid w:val="00AA7287"/>
    <w:rsid w:val="00AD1E2A"/>
    <w:rsid w:val="00AF1ADC"/>
    <w:rsid w:val="00AF46C8"/>
    <w:rsid w:val="00AF4F5F"/>
    <w:rsid w:val="00B06A85"/>
    <w:rsid w:val="00B253CB"/>
    <w:rsid w:val="00B25E01"/>
    <w:rsid w:val="00B47E1B"/>
    <w:rsid w:val="00B678D1"/>
    <w:rsid w:val="00B76791"/>
    <w:rsid w:val="00B813BD"/>
    <w:rsid w:val="00B903A9"/>
    <w:rsid w:val="00B9311D"/>
    <w:rsid w:val="00B93E0F"/>
    <w:rsid w:val="00B94482"/>
    <w:rsid w:val="00BF4BD5"/>
    <w:rsid w:val="00C3298B"/>
    <w:rsid w:val="00C63B62"/>
    <w:rsid w:val="00C6670D"/>
    <w:rsid w:val="00C67E4F"/>
    <w:rsid w:val="00C71828"/>
    <w:rsid w:val="00C73A38"/>
    <w:rsid w:val="00C906AE"/>
    <w:rsid w:val="00CB2D8C"/>
    <w:rsid w:val="00CC1E6B"/>
    <w:rsid w:val="00CC2CD9"/>
    <w:rsid w:val="00CF5C50"/>
    <w:rsid w:val="00D240A3"/>
    <w:rsid w:val="00D249CD"/>
    <w:rsid w:val="00D52697"/>
    <w:rsid w:val="00D53103"/>
    <w:rsid w:val="00D549FC"/>
    <w:rsid w:val="00D57548"/>
    <w:rsid w:val="00D744C0"/>
    <w:rsid w:val="00D7788A"/>
    <w:rsid w:val="00D81BD4"/>
    <w:rsid w:val="00D83A6E"/>
    <w:rsid w:val="00D96C5D"/>
    <w:rsid w:val="00DA1D77"/>
    <w:rsid w:val="00DB4BFF"/>
    <w:rsid w:val="00DC08B9"/>
    <w:rsid w:val="00DC2C99"/>
    <w:rsid w:val="00DC30D7"/>
    <w:rsid w:val="00DC6EE9"/>
    <w:rsid w:val="00E158EC"/>
    <w:rsid w:val="00E404F1"/>
    <w:rsid w:val="00E42AAF"/>
    <w:rsid w:val="00E53DBF"/>
    <w:rsid w:val="00EA3974"/>
    <w:rsid w:val="00EC7287"/>
    <w:rsid w:val="00EF1F1B"/>
    <w:rsid w:val="00F01F2C"/>
    <w:rsid w:val="00F15D3C"/>
    <w:rsid w:val="00F21D06"/>
    <w:rsid w:val="00F27763"/>
    <w:rsid w:val="00F44DC9"/>
    <w:rsid w:val="00F72EDC"/>
    <w:rsid w:val="00F752DC"/>
    <w:rsid w:val="00F77CE4"/>
    <w:rsid w:val="00F96E10"/>
    <w:rsid w:val="00FD01AB"/>
    <w:rsid w:val="00FE2BFF"/>
    <w:rsid w:val="00FF3E4F"/>
    <w:rsid w:val="00FF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2A58E"/>
  <w15:docId w15:val="{B003EDCA-8008-B54C-A95E-3793D47A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508" w:lineRule="exact"/>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otedMaterial">
    <w:name w:val="Quoted Material"/>
    <w:basedOn w:val="Normal"/>
    <w:link w:val="QuotedMaterialChar"/>
    <w:qFormat/>
    <w:rsid w:val="00D96C5D"/>
    <w:pPr>
      <w:tabs>
        <w:tab w:val="left" w:pos="720"/>
        <w:tab w:val="left" w:pos="1440"/>
      </w:tabs>
      <w:spacing w:after="240" w:line="240" w:lineRule="auto"/>
      <w:ind w:left="720" w:right="720"/>
    </w:pPr>
    <w:rPr>
      <w:rFonts w:ascii="Times New Roman" w:hAnsi="Times New Roman" w:cs="Arial"/>
      <w:sz w:val="28"/>
      <w:szCs w:val="22"/>
    </w:rPr>
  </w:style>
  <w:style w:type="character" w:customStyle="1" w:styleId="QuotedMaterialChar">
    <w:name w:val="Quoted Material Char"/>
    <w:basedOn w:val="DefaultParagraphFont"/>
    <w:link w:val="QuotedMaterial"/>
    <w:rsid w:val="00D96C5D"/>
    <w:rPr>
      <w:rFonts w:cs="Arial"/>
      <w:sz w:val="28"/>
      <w:szCs w:val="22"/>
    </w:rPr>
  </w:style>
  <w:style w:type="paragraph" w:styleId="BalloonText">
    <w:name w:val="Balloon Text"/>
    <w:basedOn w:val="Normal"/>
    <w:link w:val="BalloonTextChar"/>
    <w:uiPriority w:val="99"/>
    <w:semiHidden/>
    <w:unhideWhenUsed/>
    <w:rsid w:val="008304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88"/>
    <w:rPr>
      <w:rFonts w:ascii="Tahoma" w:hAnsi="Tahoma" w:cs="Tahoma"/>
      <w:sz w:val="16"/>
      <w:szCs w:val="16"/>
    </w:rPr>
  </w:style>
  <w:style w:type="character" w:styleId="FootnoteReference">
    <w:name w:val="footnote reference"/>
    <w:basedOn w:val="DefaultParagraphFont"/>
    <w:unhideWhenUsed/>
    <w:rsid w:val="00163A81"/>
    <w:rPr>
      <w:rFonts w:ascii="Times New Roman" w:hAnsi="Times New Roman"/>
      <w:b/>
      <w:bCs/>
      <w:sz w:val="28"/>
      <w:szCs w:val="28"/>
      <w:vertAlign w:val="superscript"/>
    </w:rPr>
  </w:style>
  <w:style w:type="paragraph" w:styleId="FootnoteText">
    <w:name w:val="footnote text"/>
    <w:basedOn w:val="Normal"/>
    <w:link w:val="FootnoteTextChar"/>
    <w:autoRedefine/>
    <w:uiPriority w:val="99"/>
    <w:semiHidden/>
    <w:unhideWhenUsed/>
    <w:rsid w:val="002F1D1C"/>
    <w:pPr>
      <w:spacing w:line="240" w:lineRule="auto"/>
    </w:pPr>
    <w:rPr>
      <w:rFonts w:ascii="Times New Roman" w:hAnsi="Times New Roman"/>
      <w:sz w:val="26"/>
    </w:rPr>
  </w:style>
  <w:style w:type="character" w:customStyle="1" w:styleId="FootnoteTextChar">
    <w:name w:val="Footnote Text Char"/>
    <w:basedOn w:val="DefaultParagraphFont"/>
    <w:link w:val="FootnoteText"/>
    <w:uiPriority w:val="99"/>
    <w:semiHidden/>
    <w:rsid w:val="002F1D1C"/>
    <w:rPr>
      <w:rFonts w:cs="Courier New"/>
      <w:sz w:val="26"/>
    </w:rPr>
  </w:style>
  <w:style w:type="paragraph" w:styleId="ListParagraph">
    <w:name w:val="List Paragraph"/>
    <w:basedOn w:val="Normal"/>
    <w:uiPriority w:val="34"/>
    <w:qFormat/>
    <w:rsid w:val="005D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20simrin\application%20data\microsoft\templates\Legal%20Pleadings\COURT%20OF%20APPEALS%20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settings\andy simrin\application data\microsoft\templates\Legal Pleadings\COURT OF APPEALS PLEADING.dot</Template>
  <TotalTime>1</TotalTime>
  <Pages>5</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Pleading Wizard</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Andy</dc:creator>
  <cp:lastModifiedBy>Andy Simrin</cp:lastModifiedBy>
  <cp:revision>3</cp:revision>
  <cp:lastPrinted>2020-04-01T14:33:00Z</cp:lastPrinted>
  <dcterms:created xsi:type="dcterms:W3CDTF">2020-04-01T14:33:00Z</dcterms:created>
  <dcterms:modified xsi:type="dcterms:W3CDTF">2020-04-01T14:34:00Z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