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Default Extension="emf" ContentType="image/x-emf"/>
  <Override PartName="/docProps/app.xml" ContentType="application/vnd.openxmlformats-officedocument.extended-properties+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header1.xml" ContentType="application/vnd.openxmlformats-officedocument.wordprocessingml.header+xml"/>
  <Override PartName="/customXml/itemProps2.xml" ContentType="application/vnd.openxmlformats-officedocument.customXmlProperties+xml"/>
  <Override PartName="/word/styles.xml" ContentType="application/vnd.openxmlformats-officedocument.wordprocessingml.styles+xml"/>
  <Override PartName="/docProps/custom.xml" ContentType="application/vnd.openxmlformats-officedocument.custom-properties+xml"/>
  <Default Extension="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5D0" w:rsidRDefault="001E6D9C" w:rsidP="00ED7C6E">
      <w:pPr>
        <w:pStyle w:val="Standard"/>
        <w:jc w:val="center"/>
      </w:pPr>
      <w:r>
        <w:t>IN THE</w:t>
      </w:r>
      <w:r w:rsidR="00ED7C6E">
        <w:t xml:space="preserve"> </w:t>
      </w:r>
      <w:r w:rsidR="00892836">
        <w:t>CIRCUIT</w:t>
      </w:r>
      <w:r w:rsidR="00ED7C6E">
        <w:t xml:space="preserve"> COURT OF THE STATE OF OREGON</w:t>
      </w:r>
    </w:p>
    <w:p w:rsidR="00ED7C6E" w:rsidRDefault="005A4ACB" w:rsidP="00ED7C6E">
      <w:pPr>
        <w:pStyle w:val="Standard"/>
        <w:jc w:val="center"/>
      </w:pPr>
      <w:r>
        <w:t xml:space="preserve">FOR THE COUNTY OF </w:t>
      </w:r>
    </w:p>
    <w:tbl>
      <w:tblPr>
        <w:tblStyle w:val="TableGrid"/>
        <w:tblpPr w:leftFromText="180" w:rightFromText="180" w:horzAnchor="margin" w:tblpY="750"/>
        <w:tblW w:w="9270" w:type="dxa"/>
        <w:tblBorders>
          <w:left w:val="none" w:sz="0" w:space="0" w:color="auto"/>
          <w:right w:val="none" w:sz="0" w:space="0" w:color="auto"/>
        </w:tblBorders>
        <w:tblLayout w:type="fixed"/>
        <w:tblLook w:val="04A0"/>
      </w:tblPr>
      <w:tblGrid>
        <w:gridCol w:w="4676"/>
        <w:gridCol w:w="4594"/>
      </w:tblGrid>
      <w:tr w:rsidR="0089625A" w:rsidRPr="0089625A">
        <w:trPr>
          <w:trHeight w:val="4019"/>
        </w:trPr>
        <w:tc>
          <w:tcPr>
            <w:tcW w:w="4676" w:type="dxa"/>
          </w:tcPr>
          <w:p w:rsidR="0089625A" w:rsidRPr="0089625A" w:rsidRDefault="00892836" w:rsidP="0089625A">
            <w:pPr>
              <w:pStyle w:val="Standard"/>
            </w:pPr>
            <w:r>
              <w:t>State of OREGON</w:t>
            </w:r>
            <w:r w:rsidR="0089625A" w:rsidRPr="0089625A">
              <w:t>,</w:t>
            </w:r>
            <w:r w:rsidR="0089625A" w:rsidRPr="0089625A">
              <w:tab/>
            </w:r>
          </w:p>
          <w:p w:rsidR="0089625A" w:rsidRPr="0089625A" w:rsidRDefault="0089625A" w:rsidP="0089625A">
            <w:pPr>
              <w:pStyle w:val="Standard"/>
            </w:pPr>
          </w:p>
          <w:p w:rsidR="0089625A" w:rsidRPr="0089625A" w:rsidRDefault="0089625A" w:rsidP="0089625A">
            <w:pPr>
              <w:pStyle w:val="Standard"/>
            </w:pPr>
          </w:p>
          <w:p w:rsidR="0089625A" w:rsidRPr="0089625A" w:rsidRDefault="0089625A" w:rsidP="0089625A">
            <w:pPr>
              <w:pStyle w:val="Standard"/>
            </w:pPr>
            <w:r w:rsidRPr="0089625A">
              <w:tab/>
            </w:r>
            <w:r w:rsidRPr="0089625A">
              <w:tab/>
            </w:r>
            <w:r w:rsidR="00964891">
              <w:t>Plaintiff</w:t>
            </w:r>
            <w:r w:rsidRPr="0089625A">
              <w:t xml:space="preserve">, </w:t>
            </w:r>
          </w:p>
          <w:p w:rsidR="0089625A" w:rsidRPr="0089625A" w:rsidRDefault="0089625A" w:rsidP="0089625A">
            <w:pPr>
              <w:pStyle w:val="Standard"/>
            </w:pPr>
          </w:p>
          <w:p w:rsidR="0089625A" w:rsidRPr="0089625A" w:rsidRDefault="0089625A" w:rsidP="0089625A">
            <w:pPr>
              <w:pStyle w:val="Standard"/>
            </w:pPr>
          </w:p>
          <w:p w:rsidR="0089625A" w:rsidRPr="0089625A" w:rsidRDefault="0089625A" w:rsidP="0089625A">
            <w:pPr>
              <w:pStyle w:val="Standard"/>
            </w:pPr>
            <w:r w:rsidRPr="0089625A">
              <w:tab/>
              <w:t>v.</w:t>
            </w:r>
          </w:p>
          <w:p w:rsidR="0089625A" w:rsidRPr="0089625A" w:rsidRDefault="0089625A" w:rsidP="0089625A">
            <w:pPr>
              <w:pStyle w:val="Standard"/>
            </w:pPr>
          </w:p>
          <w:p w:rsidR="0089625A" w:rsidRPr="0089625A" w:rsidRDefault="00E97EF5" w:rsidP="0089625A">
            <w:pPr>
              <w:pStyle w:val="Standard"/>
            </w:pPr>
            <w:r>
              <w:t xml:space="preserve">, </w:t>
            </w:r>
          </w:p>
          <w:p w:rsidR="0089625A" w:rsidRPr="0089625A" w:rsidRDefault="0089625A" w:rsidP="0089625A">
            <w:pPr>
              <w:pStyle w:val="Standard"/>
            </w:pPr>
          </w:p>
          <w:p w:rsidR="0089625A" w:rsidRPr="0089625A" w:rsidRDefault="0089625A" w:rsidP="0089625A">
            <w:pPr>
              <w:pStyle w:val="Standard"/>
            </w:pPr>
          </w:p>
          <w:p w:rsidR="0089625A" w:rsidRPr="0089625A" w:rsidRDefault="0089625A" w:rsidP="0089625A">
            <w:pPr>
              <w:pStyle w:val="Standard"/>
            </w:pPr>
            <w:r w:rsidRPr="0089625A">
              <w:tab/>
            </w:r>
            <w:r w:rsidRPr="0089625A">
              <w:tab/>
            </w:r>
            <w:r w:rsidR="00964891">
              <w:t>Defendant</w:t>
            </w:r>
            <w:r w:rsidRPr="0089625A">
              <w:t xml:space="preserve">.  </w:t>
            </w:r>
          </w:p>
          <w:p w:rsidR="0089625A" w:rsidRPr="0089625A" w:rsidRDefault="0089625A" w:rsidP="0089625A">
            <w:pPr>
              <w:pStyle w:val="Standard"/>
            </w:pPr>
          </w:p>
        </w:tc>
        <w:tc>
          <w:tcPr>
            <w:tcW w:w="4594" w:type="dxa"/>
          </w:tcPr>
          <w:p w:rsidR="0089625A" w:rsidRPr="0089625A" w:rsidRDefault="0089625A" w:rsidP="0089625A">
            <w:pPr>
              <w:pStyle w:val="Standard"/>
            </w:pPr>
          </w:p>
          <w:p w:rsidR="00ED7C6E" w:rsidRDefault="0089625A" w:rsidP="00892836">
            <w:pPr>
              <w:pStyle w:val="Standard"/>
            </w:pPr>
            <w:r w:rsidRPr="0089625A">
              <w:t xml:space="preserve">Case No. </w:t>
            </w:r>
          </w:p>
          <w:p w:rsidR="00892836" w:rsidRDefault="00892836" w:rsidP="00892836">
            <w:pPr>
              <w:pStyle w:val="Standard"/>
            </w:pPr>
          </w:p>
          <w:p w:rsidR="00892836" w:rsidRDefault="00892836" w:rsidP="00892836">
            <w:pPr>
              <w:pStyle w:val="Standard"/>
            </w:pPr>
          </w:p>
          <w:p w:rsidR="00892836" w:rsidRPr="0089625A" w:rsidRDefault="00892836" w:rsidP="00892836">
            <w:pPr>
              <w:pStyle w:val="Standard"/>
            </w:pPr>
          </w:p>
          <w:p w:rsidR="0089625A" w:rsidRPr="0089625A" w:rsidRDefault="0089625A" w:rsidP="0089625A">
            <w:pPr>
              <w:pStyle w:val="Standard"/>
            </w:pPr>
          </w:p>
          <w:p w:rsidR="0089625A" w:rsidRPr="0089625A" w:rsidRDefault="006E097F" w:rsidP="0089625A">
            <w:pPr>
              <w:pStyle w:val="Standard"/>
              <w:rPr>
                <w:b/>
              </w:rPr>
            </w:pPr>
            <w:r>
              <w:rPr>
                <w:b/>
              </w:rPr>
              <w:t>DEMURRER</w:t>
            </w:r>
            <w:r w:rsidR="005A4ACB">
              <w:rPr>
                <w:b/>
              </w:rPr>
              <w:t xml:space="preserve"> </w:t>
            </w:r>
            <w:r w:rsidR="00FA76E8">
              <w:rPr>
                <w:b/>
              </w:rPr>
              <w:br/>
            </w:r>
          </w:p>
          <w:p w:rsidR="0089625A" w:rsidRPr="0089625A" w:rsidRDefault="0089625A" w:rsidP="0089625A">
            <w:pPr>
              <w:pStyle w:val="Standard"/>
            </w:pPr>
          </w:p>
        </w:tc>
      </w:tr>
    </w:tbl>
    <w:p w:rsidR="009345D0" w:rsidRDefault="009345D0" w:rsidP="009345D0">
      <w:pPr>
        <w:pStyle w:val="Standard"/>
      </w:pPr>
    </w:p>
    <w:p w:rsidR="009345D0" w:rsidRDefault="009345D0" w:rsidP="00925B31">
      <w:pPr>
        <w:pStyle w:val="Standard"/>
      </w:pPr>
    </w:p>
    <w:p w:rsidR="002F54A5" w:rsidRDefault="009345D0" w:rsidP="006E097F">
      <w:pPr>
        <w:pStyle w:val="Standard"/>
        <w:spacing w:line="480" w:lineRule="auto"/>
      </w:pPr>
      <w:r>
        <w:tab/>
      </w:r>
      <w:r w:rsidR="00925B31">
        <w:t>COMES NOW, Defendant</w:t>
      </w:r>
      <w:r w:rsidR="00443E14">
        <w:t>, by and through h</w:t>
      </w:r>
      <w:r w:rsidR="00323D9B">
        <w:t>is</w:t>
      </w:r>
      <w:r w:rsidR="00925B31">
        <w:t xml:space="preserve"> attorney an</w:t>
      </w:r>
      <w:r w:rsidR="004F1252">
        <w:t xml:space="preserve">d hereby </w:t>
      </w:r>
      <w:r w:rsidR="006E097F">
        <w:t xml:space="preserve">demurs to the </w:t>
      </w:r>
      <w:r w:rsidR="005A4ACB">
        <w:t>Indictment</w:t>
      </w:r>
      <w:r w:rsidR="006E097F">
        <w:t>, under ORS</w:t>
      </w:r>
      <w:r w:rsidR="00FA76E8">
        <w:t xml:space="preserve"> 135.610, </w:t>
      </w:r>
      <w:r w:rsidR="00D40D37">
        <w:rPr>
          <w:i/>
        </w:rPr>
        <w:t>et. Seq.</w:t>
      </w:r>
      <w:r w:rsidR="00FD4C04">
        <w:t>, Article I, section</w:t>
      </w:r>
      <w:r w:rsidR="00D40D37">
        <w:t xml:space="preserve"> </w:t>
      </w:r>
      <w:r w:rsidR="00FD4C04">
        <w:t xml:space="preserve">10 </w:t>
      </w:r>
      <w:r w:rsidR="00556479">
        <w:t>of t</w:t>
      </w:r>
      <w:r w:rsidR="00FD4C04">
        <w:t>he Oregon Constitution, and Fourteenth Amendment</w:t>
      </w:r>
      <w:r w:rsidR="004F1252">
        <w:t xml:space="preserve"> to the United States Constitution</w:t>
      </w:r>
      <w:r w:rsidR="00FA76E8">
        <w:t xml:space="preserve"> and requests a hearing on this matter under ORS 135.650 </w:t>
      </w:r>
      <w:r w:rsidR="004F1252">
        <w:t>on the grounds that this accusatory instrument and the statutory scheme on which it is based:</w:t>
      </w:r>
    </w:p>
    <w:p w:rsidR="005A4ACB" w:rsidRDefault="005A4ACB" w:rsidP="00250773">
      <w:pPr>
        <w:pStyle w:val="Standard"/>
        <w:numPr>
          <w:ilvl w:val="0"/>
          <w:numId w:val="13"/>
        </w:numPr>
      </w:pPr>
      <w:r>
        <w:t>The facts stated do not constitute an offense</w:t>
      </w:r>
      <w:r w:rsidR="00D92F83">
        <w:t>;</w:t>
      </w:r>
      <w:r>
        <w:t xml:space="preserve"> and,</w:t>
      </w:r>
    </w:p>
    <w:p w:rsidR="005A4ACB" w:rsidRDefault="005A4ACB" w:rsidP="005A4ACB">
      <w:pPr>
        <w:pStyle w:val="Standard"/>
        <w:ind w:left="1080"/>
      </w:pPr>
    </w:p>
    <w:p w:rsidR="00250773" w:rsidRDefault="005A4ACB" w:rsidP="00250773">
      <w:pPr>
        <w:pStyle w:val="Standard"/>
        <w:numPr>
          <w:ilvl w:val="0"/>
          <w:numId w:val="13"/>
        </w:numPr>
      </w:pPr>
      <w:r>
        <w:t>The accusatory instrument contains matter which, if true, would constitute a legal justification or excuse of the offense charged or other legal bar to the action</w:t>
      </w:r>
      <w:r w:rsidR="00242757">
        <w:t>.</w:t>
      </w:r>
    </w:p>
    <w:p w:rsidR="005A4ACB" w:rsidRPr="00D92F83" w:rsidRDefault="005A4ACB" w:rsidP="00250773">
      <w:pPr>
        <w:pStyle w:val="Standard"/>
        <w:ind w:left="1080"/>
      </w:pPr>
    </w:p>
    <w:p w:rsidR="00FA76E8" w:rsidRDefault="00FA76E8" w:rsidP="006E097F">
      <w:pPr>
        <w:pStyle w:val="Standard"/>
        <w:spacing w:line="480" w:lineRule="auto"/>
      </w:pPr>
      <w:r>
        <w:tab/>
        <w:t>This demurrer is not made for the purpose of delay, and is supported by the attached points and authorities and memorandum of law, and, in the opinion of counsel, is well founded in law.</w:t>
      </w:r>
      <w:r>
        <w:tab/>
      </w:r>
    </w:p>
    <w:p w:rsidR="005A4ACB" w:rsidRDefault="005A4ACB" w:rsidP="006E097F">
      <w:pPr>
        <w:pStyle w:val="Standard"/>
        <w:spacing w:line="480" w:lineRule="auto"/>
      </w:pPr>
      <w:r>
        <w:t>///</w:t>
      </w:r>
    </w:p>
    <w:p w:rsidR="005A4ACB" w:rsidRDefault="00FD4C04" w:rsidP="006E097F">
      <w:pPr>
        <w:pStyle w:val="Standard"/>
        <w:spacing w:line="480" w:lineRule="auto"/>
      </w:pPr>
      <w:r>
        <w:t>///</w:t>
      </w:r>
    </w:p>
    <w:p w:rsidR="00FD4C04" w:rsidRDefault="00FD4C04" w:rsidP="006E097F">
      <w:pPr>
        <w:pStyle w:val="Standard"/>
        <w:spacing w:line="480" w:lineRule="auto"/>
      </w:pPr>
      <w:r>
        <w:t>///</w:t>
      </w:r>
    </w:p>
    <w:p w:rsidR="00FA76E8" w:rsidRPr="00B05D2F" w:rsidRDefault="00FA76E8" w:rsidP="00B05D2F">
      <w:pPr>
        <w:pStyle w:val="Standard"/>
        <w:spacing w:line="480" w:lineRule="auto"/>
        <w:jc w:val="center"/>
        <w:rPr>
          <w:b/>
        </w:rPr>
      </w:pPr>
      <w:r w:rsidRPr="00B05D2F">
        <w:rPr>
          <w:b/>
        </w:rPr>
        <w:t>FACTS</w:t>
      </w:r>
    </w:p>
    <w:p w:rsidR="00407EE7" w:rsidRDefault="00B05D2F" w:rsidP="00CB24F2">
      <w:pPr>
        <w:pStyle w:val="Standard"/>
        <w:spacing w:line="480" w:lineRule="auto"/>
      </w:pPr>
      <w:r>
        <w:tab/>
      </w:r>
      <w:r w:rsidR="005A4ACB">
        <w:t>The Defendant was arrested [date] on charges of theft in the [  ] degree. The state filed an Information that contained the charge of theft in the first degree based upon the text of ORS 164.055(1)(b)</w:t>
      </w:r>
      <w:r w:rsidR="005833AC">
        <w:t>. The state asserts that</w:t>
      </w:r>
      <w:r w:rsidR="005A4ACB">
        <w:t xml:space="preserve"> the </w:t>
      </w:r>
      <w:r w:rsidR="005833AC">
        <w:t>theft was alleged to have occurred “during a riot, fire, explosion, catastrophe or other emergency in an area affected by the riot, fire, explosion, catastrophe or other emergency” because the state was under Governor Brown’s March 8, 2020 executive order No. 20-03; “DECLARATION OF EMERGENCY DUE TO CORONAVIRUS (COVID-19) OUTBREAK IN OREGON”.</w:t>
      </w:r>
    </w:p>
    <w:p w:rsidR="00BF2FCA" w:rsidRDefault="00BF2FCA" w:rsidP="00E23F86">
      <w:pPr>
        <w:pStyle w:val="Standard"/>
        <w:spacing w:line="480" w:lineRule="auto"/>
        <w:jc w:val="center"/>
        <w:rPr>
          <w:b/>
        </w:rPr>
      </w:pPr>
      <w:r w:rsidRPr="00BF2FCA">
        <w:rPr>
          <w:b/>
        </w:rPr>
        <w:t>LAW AND ARGUMENT</w:t>
      </w:r>
    </w:p>
    <w:p w:rsidR="00250773" w:rsidRDefault="00D87986" w:rsidP="00C43876">
      <w:pPr>
        <w:pStyle w:val="Standard"/>
        <w:spacing w:line="480" w:lineRule="auto"/>
      </w:pPr>
      <w:r>
        <w:tab/>
        <w:t>ORS 164.055 states in relevant part:</w:t>
      </w:r>
    </w:p>
    <w:p w:rsidR="00D87986" w:rsidRDefault="00D87986" w:rsidP="00D87986">
      <w:pPr>
        <w:pStyle w:val="Standard"/>
        <w:ind w:left="720" w:right="720"/>
      </w:pPr>
      <w:r>
        <w:rPr>
          <w:rStyle w:val="outlineheading1"/>
        </w:rPr>
        <w:t>(1)</w:t>
      </w:r>
      <w:r>
        <w:t xml:space="preserve"> A person commits the crime of theft in the first degree if, by means other than extortion, the person commits theft as defined in ORS </w:t>
      </w:r>
      <w:r w:rsidRPr="00D87986">
        <w:t xml:space="preserve">164.015 </w:t>
      </w:r>
      <w:r>
        <w:t>[Theft described] and:</w:t>
      </w:r>
    </w:p>
    <w:p w:rsidR="00D87986" w:rsidRDefault="00D87986" w:rsidP="00D87986">
      <w:pPr>
        <w:pStyle w:val="Standard"/>
        <w:ind w:left="720" w:right="720"/>
      </w:pPr>
      <w:r>
        <w:rPr>
          <w:rStyle w:val="outlineheading2"/>
        </w:rPr>
        <w:t>b)</w:t>
      </w:r>
      <w:r>
        <w:t xml:space="preserve"> The theft is committed during a riot, fire, explosion, catastrophe or other emergency in an area affected by the riot, fire, explosion, catastrophe or </w:t>
      </w:r>
      <w:r w:rsidRPr="00D87986">
        <w:rPr>
          <w:i/>
        </w:rPr>
        <w:t>other emergency</w:t>
      </w:r>
      <w:r>
        <w:t>[.]</w:t>
      </w:r>
    </w:p>
    <w:p w:rsidR="00D87986" w:rsidRDefault="00D87986" w:rsidP="00C43876">
      <w:pPr>
        <w:pStyle w:val="Standard"/>
        <w:spacing w:line="480" w:lineRule="auto"/>
      </w:pPr>
    </w:p>
    <w:p w:rsidR="00D87986" w:rsidRDefault="00D87986" w:rsidP="00C43876">
      <w:pPr>
        <w:pStyle w:val="Standard"/>
        <w:spacing w:line="480" w:lineRule="auto"/>
      </w:pPr>
      <w:r>
        <w:t>(emphasis added).</w:t>
      </w:r>
    </w:p>
    <w:p w:rsidR="00D87986" w:rsidRDefault="00D87986" w:rsidP="00C43876">
      <w:pPr>
        <w:pStyle w:val="Standard"/>
        <w:spacing w:line="480" w:lineRule="auto"/>
      </w:pPr>
      <w:r>
        <w:tab/>
        <w:t xml:space="preserve">The statute does not go on to define </w:t>
      </w:r>
      <w:r w:rsidR="00FD4C04">
        <w:t xml:space="preserve">what </w:t>
      </w:r>
      <w:r>
        <w:t>the term “other emergency” actually constitutes. Here, the State alleges that the declared emergency related to COVID-19 is sufficient, in and of itself, to trigger t</w:t>
      </w:r>
      <w:r w:rsidR="00882618">
        <w:t>he “other emergency”</w:t>
      </w:r>
      <w:r>
        <w:t xml:space="preserve"> provision</w:t>
      </w:r>
      <w:r w:rsidR="00882618">
        <w:rPr>
          <w:rStyle w:val="FootnoteReference"/>
        </w:rPr>
        <w:footnoteReference w:id="1"/>
      </w:r>
      <w:r>
        <w:t>. ORS 164.055(1)(b) has remained substantially unchanged since first enacted as part of the 1971 criminal code revision</w:t>
      </w:r>
      <w:r>
        <w:rPr>
          <w:rStyle w:val="FootnoteReference"/>
        </w:rPr>
        <w:footnoteReference w:id="2"/>
      </w:r>
      <w:r>
        <w:t>. The defense has been</w:t>
      </w:r>
      <w:r w:rsidR="002A335D">
        <w:t xml:space="preserve"> </w:t>
      </w:r>
      <w:r>
        <w:t>unable to locate, despite exhaustive search, any appellate cases of Theft 1 based on ORS 164.055(1)(b).</w:t>
      </w:r>
    </w:p>
    <w:p w:rsidR="00D87986" w:rsidRPr="00347332" w:rsidRDefault="00347332" w:rsidP="00C43876">
      <w:pPr>
        <w:pStyle w:val="Standard"/>
        <w:spacing w:line="480" w:lineRule="auto"/>
        <w:rPr>
          <w:b/>
        </w:rPr>
      </w:pPr>
      <w:r w:rsidRPr="00347332">
        <w:rPr>
          <w:b/>
        </w:rPr>
        <w:t>1. Analysis of legislative history.</w:t>
      </w:r>
    </w:p>
    <w:p w:rsidR="00347332" w:rsidRDefault="00347332" w:rsidP="00C43876">
      <w:pPr>
        <w:pStyle w:val="Standard"/>
        <w:spacing w:line="480" w:lineRule="auto"/>
      </w:pPr>
      <w:r>
        <w:tab/>
        <w:t>ORS 164.055</w:t>
      </w:r>
      <w:r w:rsidR="00FD4C04">
        <w:t>(1)</w:t>
      </w:r>
      <w:r>
        <w:t>(b) is an anti-looting provision of the</w:t>
      </w:r>
      <w:r w:rsidR="0013143C">
        <w:t xml:space="preserve"> theft in the first degree</w:t>
      </w:r>
      <w:r>
        <w:t xml:space="preserve"> statute. In </w:t>
      </w:r>
      <w:r w:rsidRPr="00347332">
        <w:rPr>
          <w:i/>
        </w:rPr>
        <w:t>State v. Slatton</w:t>
      </w:r>
      <w:r>
        <w:t>, 268 Or App. 556 (2015) the Oregon Court of Appeals engaged in an in depth analysis of ORS 164.055. With regard to ORS 164.055</w:t>
      </w:r>
      <w:r w:rsidR="00FD4C04">
        <w:t>(1)</w:t>
      </w:r>
      <w:r>
        <w:t>(b) the Court stated:</w:t>
      </w:r>
    </w:p>
    <w:p w:rsidR="0013143C" w:rsidRDefault="00347332" w:rsidP="0013143C">
      <w:pPr>
        <w:pStyle w:val="Standard"/>
        <w:ind w:left="720" w:right="720"/>
      </w:pPr>
      <w:r>
        <w:t>“The paragraph relating to thefts that occur during a riot sought to address the problem of looting during instances of mass dis</w:t>
      </w:r>
      <w:r w:rsidR="0013143C">
        <w:t>turbance and major catastrophe. </w:t>
      </w:r>
      <w:r>
        <w:t xml:space="preserve">In response to looting that apparently followed an earthquake in Los Angeles and other public unrest in Portland during the summer of 1970, the legislature deemed it appropriate to subject looters to elevated punishment as felons.” </w:t>
      </w:r>
    </w:p>
    <w:p w:rsidR="0013143C" w:rsidRDefault="0013143C" w:rsidP="0013143C">
      <w:pPr>
        <w:pStyle w:val="Standard"/>
        <w:ind w:left="720" w:right="720"/>
      </w:pPr>
    </w:p>
    <w:p w:rsidR="00347332" w:rsidRPr="00347332" w:rsidRDefault="00347332" w:rsidP="00C43876">
      <w:pPr>
        <w:pStyle w:val="Standard"/>
        <w:spacing w:line="480" w:lineRule="auto"/>
      </w:pPr>
      <w:r>
        <w:t>268 Or App at 572 (Tape Recording, Senate Criminal Law and Procedures Committee, SB 40, Mar. 2, 1971, Tape 4, Side 1 (statement of John Christman; statement of Richard Barton))</w:t>
      </w:r>
      <w:r w:rsidR="0013143C">
        <w:t xml:space="preserve"> (internal citations omitted)</w:t>
      </w:r>
      <w:r>
        <w:t>.</w:t>
      </w:r>
    </w:p>
    <w:p w:rsidR="00347332" w:rsidRDefault="00347332" w:rsidP="00C43876">
      <w:pPr>
        <w:pStyle w:val="Standard"/>
        <w:spacing w:line="480" w:lineRule="auto"/>
      </w:pPr>
      <w:r>
        <w:t xml:space="preserve"> </w:t>
      </w:r>
      <w:r w:rsidR="00882618">
        <w:tab/>
        <w:t>The current emergency declaration due to the COVID</w:t>
      </w:r>
      <w:r w:rsidR="00A67798">
        <w:t>-19 pandemic does not equate to the sort of “mass disturbance and major catastrophe”</w:t>
      </w:r>
      <w:r w:rsidR="00882618">
        <w:t xml:space="preserve"> described above</w:t>
      </w:r>
      <w:r w:rsidR="00A67798">
        <w:t xml:space="preserve"> in that placing quarantine measures in effect does not promote looting</w:t>
      </w:r>
      <w:r w:rsidR="00882618">
        <w:t xml:space="preserve">. </w:t>
      </w:r>
      <w:r w:rsidR="00A67798">
        <w:t>A charge of theft in the first degree cannot therefore be supported by the facts plead in the indictment.</w:t>
      </w:r>
    </w:p>
    <w:p w:rsidR="00FD4C04" w:rsidRDefault="00FD4C04" w:rsidP="00C43876">
      <w:pPr>
        <w:pStyle w:val="Standard"/>
        <w:spacing w:line="480" w:lineRule="auto"/>
      </w:pPr>
      <w:r>
        <w:t>///</w:t>
      </w:r>
    </w:p>
    <w:p w:rsidR="002A335D" w:rsidRDefault="002A335D" w:rsidP="00C43876">
      <w:pPr>
        <w:pStyle w:val="Standard"/>
        <w:spacing w:line="480" w:lineRule="auto"/>
      </w:pPr>
      <w:r>
        <w:t>///</w:t>
      </w:r>
    </w:p>
    <w:p w:rsidR="00A67798" w:rsidRDefault="00A67798" w:rsidP="00A67798">
      <w:pPr>
        <w:pStyle w:val="Standard"/>
        <w:spacing w:line="480" w:lineRule="auto"/>
        <w:rPr>
          <w:b/>
        </w:rPr>
      </w:pPr>
      <w:r>
        <w:rPr>
          <w:b/>
        </w:rPr>
        <w:t>2</w:t>
      </w:r>
      <w:r w:rsidRPr="00347332">
        <w:rPr>
          <w:b/>
        </w:rPr>
        <w:t xml:space="preserve">. </w:t>
      </w:r>
      <w:r w:rsidR="00267EE4" w:rsidRPr="00267EE4">
        <w:rPr>
          <w:b/>
          <w:i/>
        </w:rPr>
        <w:t>Ejusdem generis</w:t>
      </w:r>
      <w:r w:rsidR="00267EE4">
        <w:rPr>
          <w:b/>
        </w:rPr>
        <w:t xml:space="preserve">: Defining the </w:t>
      </w:r>
      <w:r>
        <w:rPr>
          <w:b/>
        </w:rPr>
        <w:t>undefined terminology contained within a list of terms</w:t>
      </w:r>
      <w:r w:rsidRPr="00347332">
        <w:rPr>
          <w:b/>
        </w:rPr>
        <w:t>.</w:t>
      </w:r>
    </w:p>
    <w:p w:rsidR="00FD3A06" w:rsidRDefault="00A67798" w:rsidP="00A67798">
      <w:pPr>
        <w:pStyle w:val="Standard"/>
        <w:spacing w:line="480" w:lineRule="auto"/>
      </w:pPr>
      <w:r>
        <w:rPr>
          <w:b/>
        </w:rPr>
        <w:tab/>
      </w:r>
      <w:r>
        <w:t xml:space="preserve">When a legal term is not defined by statute, </w:t>
      </w:r>
      <w:r w:rsidR="00267EE4">
        <w:t>the Oregon Supreme Court has stated, “[t]</w:t>
      </w:r>
      <w:r w:rsidR="00267EE4" w:rsidRPr="00267EE4">
        <w:t>o discern the legislature's intent, we consider the statutory text, context, and any relevant legislative history</w:t>
      </w:r>
      <w:r w:rsidR="00267EE4">
        <w:t>.”</w:t>
      </w:r>
      <w:r w:rsidR="00267EE4" w:rsidRPr="00267EE4">
        <w:t xml:space="preserve"> </w:t>
      </w:r>
      <w:r w:rsidR="00267EE4" w:rsidRPr="00267EE4">
        <w:rPr>
          <w:i/>
        </w:rPr>
        <w:t>State v.  Kurtz</w:t>
      </w:r>
      <w:r w:rsidR="00267EE4">
        <w:t>, 350 Or. 65, 71 (</w:t>
      </w:r>
      <w:r w:rsidR="00267EE4" w:rsidRPr="00267EE4">
        <w:t>2011)</w:t>
      </w:r>
      <w:r w:rsidR="00267EE4">
        <w:t xml:space="preserve">. </w:t>
      </w:r>
      <w:r w:rsidR="00A44AB1">
        <w:t>T</w:t>
      </w:r>
      <w:r w:rsidR="00267EE4">
        <w:t xml:space="preserve">he </w:t>
      </w:r>
      <w:r w:rsidR="007F6C90">
        <w:t>Cou</w:t>
      </w:r>
      <w:r w:rsidR="00A44AB1">
        <w:t>rt</w:t>
      </w:r>
      <w:r w:rsidR="007F6C90">
        <w:t xml:space="preserve"> “</w:t>
      </w:r>
      <w:r w:rsidR="007F6C90" w:rsidRPr="007F6C90">
        <w:t xml:space="preserve">has developed certain principles that pertain to the interpretation of statutory text that consists of a general term accompanied by examples of the general term. One such principle, </w:t>
      </w:r>
      <w:r w:rsidR="007F6C90" w:rsidRPr="00A44AB1">
        <w:rPr>
          <w:i/>
        </w:rPr>
        <w:t>ejusdem generis</w:t>
      </w:r>
      <w:r w:rsidR="007F6C90" w:rsidRPr="007F6C90">
        <w:t>, serves to confine the interpretation of the general term according to one or more common charact</w:t>
      </w:r>
      <w:r w:rsidR="00A44AB1">
        <w:t xml:space="preserve">eristics of the listed examples.” </w:t>
      </w:r>
      <w:r w:rsidR="00A44AB1">
        <w:rPr>
          <w:i/>
        </w:rPr>
        <w:t>Id</w:t>
      </w:r>
      <w:r w:rsidR="00A44AB1">
        <w:t xml:space="preserve">. at 74. </w:t>
      </w:r>
    </w:p>
    <w:p w:rsidR="008A3A66" w:rsidRDefault="008A3A66" w:rsidP="00A67798">
      <w:pPr>
        <w:pStyle w:val="Standard"/>
        <w:spacing w:line="480" w:lineRule="auto"/>
      </w:pPr>
      <w:r>
        <w:tab/>
        <w:t>To clarify, the Court is required to look at the specific examples of defined terms within a law and determine the common theme or themes. Next, the court examines the undefined or non-enumerated term and clarifies the meaning of it by fitting it within the theme or themes defined by the other terms.</w:t>
      </w:r>
    </w:p>
    <w:p w:rsidR="00A67798" w:rsidRDefault="00FD3A06" w:rsidP="00A67798">
      <w:pPr>
        <w:pStyle w:val="Standard"/>
        <w:spacing w:line="480" w:lineRule="auto"/>
      </w:pPr>
      <w:r>
        <w:tab/>
      </w:r>
      <w:r w:rsidR="00A44AB1">
        <w:rPr>
          <w:i/>
        </w:rPr>
        <w:t xml:space="preserve">Kurtz </w:t>
      </w:r>
      <w:r w:rsidR="00A44AB1">
        <w:t>dealt with the determination of whether or no</w:t>
      </w:r>
      <w:r>
        <w:t>t a tribal police officer was a</w:t>
      </w:r>
      <w:r w:rsidR="00FD4C04">
        <w:t xml:space="preserve"> “police officer” and/or a</w:t>
      </w:r>
      <w:r>
        <w:t xml:space="preserve"> “peace</w:t>
      </w:r>
      <w:r w:rsidR="00A44AB1">
        <w:t xml:space="preserve"> officer</w:t>
      </w:r>
      <w:r>
        <w:t>”</w:t>
      </w:r>
      <w:r w:rsidR="00A44AB1">
        <w:t xml:space="preserve"> under several statutes</w:t>
      </w:r>
      <w:r>
        <w:t xml:space="preserve"> defining the term</w:t>
      </w:r>
      <w:r w:rsidR="00FD4C04">
        <w:t>s</w:t>
      </w:r>
      <w:r>
        <w:t xml:space="preserve"> which listed multiple examp</w:t>
      </w:r>
      <w:r w:rsidR="00FD4C04">
        <w:t>les of police agencies under their</w:t>
      </w:r>
      <w:r>
        <w:t xml:space="preserve"> definition</w:t>
      </w:r>
      <w:r w:rsidR="00FD4C04">
        <w:t>s</w:t>
      </w:r>
      <w:r>
        <w:t xml:space="preserve">, but not members of a tribal police agency. </w:t>
      </w:r>
      <w:r w:rsidR="00A44AB1">
        <w:t xml:space="preserve">The Court used the doctrine of </w:t>
      </w:r>
      <w:r w:rsidR="00A44AB1">
        <w:rPr>
          <w:i/>
        </w:rPr>
        <w:t>ejusdem generis</w:t>
      </w:r>
      <w:r w:rsidR="00A44AB1">
        <w:t xml:space="preserve"> </w:t>
      </w:r>
      <w:r>
        <w:t>to reach the conclusion that a tribal officer was</w:t>
      </w:r>
      <w:r w:rsidR="00FD4C04">
        <w:t xml:space="preserve"> both a “police offer” and</w:t>
      </w:r>
      <w:r>
        <w:t xml:space="preserve"> a “peace officer” for the purpose of the several statutes. </w:t>
      </w:r>
    </w:p>
    <w:p w:rsidR="00BB7B05" w:rsidRDefault="00FD3A06" w:rsidP="00A6026E">
      <w:pPr>
        <w:pStyle w:val="Standard"/>
        <w:spacing w:line="480" w:lineRule="auto"/>
      </w:pPr>
      <w:r>
        <w:tab/>
        <w:t xml:space="preserve">Here, the listed examples are (1) Riot, (2) </w:t>
      </w:r>
      <w:r w:rsidR="00242757">
        <w:t xml:space="preserve">Fire, (3) Explosion, </w:t>
      </w:r>
      <w:r w:rsidR="002A335D">
        <w:t xml:space="preserve">and </w:t>
      </w:r>
      <w:r w:rsidR="00242757">
        <w:t>(4) Catastrophe.</w:t>
      </w:r>
      <w:r>
        <w:t xml:space="preserve"> Incorporating the legislative history as explained by the Oregon Court of Appeals it is obvious that the common thread among the listed examples include only those events that lend themselves to immediate and substant</w:t>
      </w:r>
      <w:r w:rsidR="00242757">
        <w:t xml:space="preserve">ial likelihood of looting. </w:t>
      </w:r>
      <w:r>
        <w:t xml:space="preserve">The disease of COVID-19 and the subsequent stay at home orders are not of the type of harm that the legislature intended to be the </w:t>
      </w:r>
      <w:r w:rsidR="00242757">
        <w:t>subject of the “other emergency”</w:t>
      </w:r>
      <w:r>
        <w:t xml:space="preserve"> provision of ORS 164.055(1)(b)</w:t>
      </w:r>
      <w:r w:rsidR="00FD4C04">
        <w:t>.</w:t>
      </w:r>
    </w:p>
    <w:p w:rsidR="00BB7B05" w:rsidRPr="00C43876" w:rsidRDefault="00BB7B05" w:rsidP="00A6026E">
      <w:pPr>
        <w:pStyle w:val="Standard"/>
        <w:spacing w:line="480" w:lineRule="auto"/>
        <w:rPr>
          <w:b/>
        </w:rPr>
      </w:pPr>
      <w:r w:rsidRPr="00C43876">
        <w:rPr>
          <w:b/>
        </w:rPr>
        <w:t>CONCLUSION</w:t>
      </w:r>
    </w:p>
    <w:p w:rsidR="00CA35B6" w:rsidRPr="00242757" w:rsidRDefault="00BB7B05" w:rsidP="00A6026E">
      <w:pPr>
        <w:pStyle w:val="Standard"/>
        <w:spacing w:line="480" w:lineRule="auto"/>
      </w:pPr>
      <w:r>
        <w:tab/>
      </w:r>
      <w:r w:rsidR="00242757">
        <w:t xml:space="preserve">Based upon the legislative history and the doctrine of </w:t>
      </w:r>
      <w:r w:rsidR="00242757">
        <w:rPr>
          <w:i/>
        </w:rPr>
        <w:t>ejusdem generis</w:t>
      </w:r>
      <w:r w:rsidR="00242757">
        <w:t xml:space="preserve"> it is readily apparent that the present state of emergency does not meet the statutory definition of “other emergency under ORS 164.055</w:t>
      </w:r>
      <w:r w:rsidR="00FD4C04">
        <w:t>(1)</w:t>
      </w:r>
      <w:r w:rsidR="00242757">
        <w:t>(b)</w:t>
      </w:r>
      <w:r w:rsidR="00FD4C04">
        <w:t xml:space="preserve">. </w:t>
      </w:r>
      <w:r w:rsidR="00242757">
        <w:t>Accordingly, (1) t</w:t>
      </w:r>
      <w:r w:rsidR="00242757" w:rsidRPr="00242757">
        <w:t xml:space="preserve">he facts stated </w:t>
      </w:r>
      <w:r w:rsidR="00242757">
        <w:t xml:space="preserve">in the indictment do not constitute the offense of theft in the first degree, and (2) </w:t>
      </w:r>
      <w:r w:rsidR="008A3A66">
        <w:t>The accusatory instrument contains matter which, if true, would constitute a legal justification or excuse of the offense charged or other legal bar to the action</w:t>
      </w:r>
      <w:r w:rsidR="00FD4C04">
        <w:t>. Therefore, the Defendant respectfully prays that the Court grant this demurrer to the indictment.</w:t>
      </w:r>
    </w:p>
    <w:p w:rsidR="00C43876" w:rsidRDefault="00C43876" w:rsidP="006E097F">
      <w:pPr>
        <w:pStyle w:val="Standard"/>
        <w:spacing w:line="480" w:lineRule="auto"/>
      </w:pPr>
    </w:p>
    <w:p w:rsidR="00407EE7" w:rsidRPr="00577E48" w:rsidRDefault="00CA35B6" w:rsidP="006E097F">
      <w:pPr>
        <w:pStyle w:val="Standard"/>
        <w:spacing w:line="480" w:lineRule="auto"/>
      </w:pPr>
      <w:r>
        <w:t>Respectfully submitted,</w:t>
      </w:r>
    </w:p>
    <w:p w:rsidR="009345D0" w:rsidRDefault="009345D0" w:rsidP="009345D0">
      <w:pPr>
        <w:pStyle w:val="Standard"/>
      </w:pPr>
    </w:p>
    <w:p w:rsidR="009345D0" w:rsidRDefault="004904B7" w:rsidP="009345D0">
      <w:pPr>
        <w:pStyle w:val="Standard"/>
      </w:pPr>
      <w:r>
        <w:t xml:space="preserve">DATED: </w:t>
      </w:r>
      <w:r w:rsidR="008A2DA1">
        <w:t>____</w:t>
      </w:r>
      <w:r w:rsidR="00E97EF5">
        <w:t xml:space="preserve"> </w:t>
      </w:r>
      <w:r w:rsidR="008A3A66">
        <w:t>June, 2020</w:t>
      </w:r>
    </w:p>
    <w:p w:rsidR="009345D0" w:rsidRDefault="009345D0" w:rsidP="009345D0">
      <w:pPr>
        <w:pStyle w:val="Standard"/>
      </w:pPr>
    </w:p>
    <w:p w:rsidR="009345D0" w:rsidRDefault="009345D0" w:rsidP="009345D0">
      <w:pPr>
        <w:pStyle w:val="Standard"/>
      </w:pPr>
    </w:p>
    <w:p w:rsidR="009345D0" w:rsidRDefault="009345D0" w:rsidP="009345D0">
      <w:pPr>
        <w:pStyle w:val="Standard"/>
      </w:pPr>
      <w:r>
        <w:t>_______________________________</w:t>
      </w:r>
      <w:r>
        <w:tab/>
      </w:r>
    </w:p>
    <w:p w:rsidR="009345D0" w:rsidRDefault="00253FC3" w:rsidP="009345D0">
      <w:pPr>
        <w:pStyle w:val="Standard"/>
      </w:pPr>
      <w:r>
        <w:t>Attorney for Defendant</w:t>
      </w:r>
    </w:p>
    <w:p w:rsidR="009345D0" w:rsidRDefault="009345D0" w:rsidP="009345D0">
      <w:pPr>
        <w:pStyle w:val="Standard"/>
      </w:pPr>
    </w:p>
    <w:p w:rsidR="009345D0" w:rsidRDefault="009345D0" w:rsidP="009345D0">
      <w:pPr>
        <w:pStyle w:val="Standard"/>
      </w:pPr>
    </w:p>
    <w:p w:rsidR="009345D0" w:rsidRDefault="009345D0" w:rsidP="009345D0">
      <w:pPr>
        <w:pStyle w:val="Standard"/>
      </w:pPr>
    </w:p>
    <w:p w:rsidR="009345D0" w:rsidRDefault="009345D0" w:rsidP="009345D0">
      <w:pPr>
        <w:pStyle w:val="Standard"/>
      </w:pPr>
    </w:p>
    <w:p w:rsidR="00A4184A" w:rsidRDefault="00A4184A" w:rsidP="009345D0">
      <w:pPr>
        <w:pStyle w:val="Standard"/>
      </w:pPr>
    </w:p>
    <w:p w:rsidR="002F54A5" w:rsidRDefault="002F54A5" w:rsidP="002B635E">
      <w:pPr>
        <w:pStyle w:val="Standard"/>
        <w:jc w:val="center"/>
        <w:rPr>
          <w:rFonts w:cs="Times New Roman"/>
          <w:b/>
        </w:rPr>
      </w:pPr>
    </w:p>
    <w:p w:rsidR="00ED7C6E" w:rsidRDefault="00ED7C6E" w:rsidP="002B635E">
      <w:pPr>
        <w:pStyle w:val="Standard"/>
        <w:jc w:val="center"/>
        <w:rPr>
          <w:rFonts w:cs="Times New Roman"/>
          <w:b/>
        </w:rPr>
      </w:pPr>
    </w:p>
    <w:p w:rsidR="002F54A5" w:rsidRDefault="002F54A5" w:rsidP="002B635E">
      <w:pPr>
        <w:pStyle w:val="Standard"/>
        <w:jc w:val="center"/>
        <w:rPr>
          <w:rFonts w:cs="Times New Roman"/>
          <w:b/>
        </w:rPr>
      </w:pPr>
    </w:p>
    <w:p w:rsidR="00CA35B6" w:rsidRDefault="00CA35B6" w:rsidP="002B635E">
      <w:pPr>
        <w:pStyle w:val="Standard"/>
        <w:jc w:val="center"/>
        <w:rPr>
          <w:rFonts w:cs="Times New Roman"/>
          <w:b/>
        </w:rPr>
      </w:pPr>
    </w:p>
    <w:p w:rsidR="00CA35B6" w:rsidRDefault="00CA35B6" w:rsidP="002B635E">
      <w:pPr>
        <w:pStyle w:val="Standard"/>
        <w:jc w:val="center"/>
        <w:rPr>
          <w:rFonts w:cs="Times New Roman"/>
          <w:b/>
        </w:rPr>
      </w:pPr>
    </w:p>
    <w:p w:rsidR="00CA35B6" w:rsidRDefault="00CA35B6" w:rsidP="002B635E">
      <w:pPr>
        <w:pStyle w:val="Standard"/>
        <w:jc w:val="center"/>
        <w:rPr>
          <w:rFonts w:cs="Times New Roman"/>
          <w:b/>
        </w:rPr>
      </w:pPr>
    </w:p>
    <w:p w:rsidR="00CA35B6" w:rsidRDefault="00CA35B6" w:rsidP="002B635E">
      <w:pPr>
        <w:pStyle w:val="Standard"/>
        <w:jc w:val="center"/>
        <w:rPr>
          <w:rFonts w:cs="Times New Roman"/>
          <w:b/>
        </w:rPr>
      </w:pPr>
    </w:p>
    <w:p w:rsidR="00CA35B6" w:rsidRDefault="00CA35B6" w:rsidP="002B635E">
      <w:pPr>
        <w:pStyle w:val="Standard"/>
        <w:jc w:val="center"/>
        <w:rPr>
          <w:rFonts w:cs="Times New Roman"/>
          <w:b/>
        </w:rPr>
      </w:pPr>
    </w:p>
    <w:p w:rsidR="00CA35B6" w:rsidRDefault="00CA35B6" w:rsidP="002B635E">
      <w:pPr>
        <w:pStyle w:val="Standard"/>
        <w:jc w:val="center"/>
        <w:rPr>
          <w:rFonts w:cs="Times New Roman"/>
          <w:b/>
        </w:rPr>
      </w:pPr>
    </w:p>
    <w:p w:rsidR="00CA35B6" w:rsidRDefault="00CA35B6" w:rsidP="002B635E">
      <w:pPr>
        <w:pStyle w:val="Standard"/>
        <w:jc w:val="center"/>
        <w:rPr>
          <w:rFonts w:cs="Times New Roman"/>
          <w:b/>
        </w:rPr>
      </w:pPr>
    </w:p>
    <w:p w:rsidR="00CA35B6" w:rsidRDefault="00CA35B6" w:rsidP="002B635E">
      <w:pPr>
        <w:pStyle w:val="Standard"/>
        <w:jc w:val="center"/>
        <w:rPr>
          <w:rFonts w:cs="Times New Roman"/>
          <w:b/>
        </w:rPr>
      </w:pPr>
    </w:p>
    <w:p w:rsidR="00CA35B6" w:rsidRDefault="00CA35B6" w:rsidP="002B635E">
      <w:pPr>
        <w:pStyle w:val="Standard"/>
        <w:jc w:val="center"/>
        <w:rPr>
          <w:rFonts w:cs="Times New Roman"/>
          <w:b/>
        </w:rPr>
      </w:pPr>
    </w:p>
    <w:p w:rsidR="00CA35B6" w:rsidRDefault="00CA35B6" w:rsidP="002B635E">
      <w:pPr>
        <w:pStyle w:val="Standard"/>
        <w:jc w:val="center"/>
        <w:rPr>
          <w:rFonts w:cs="Times New Roman"/>
          <w:b/>
        </w:rPr>
      </w:pPr>
    </w:p>
    <w:p w:rsidR="00CA35B6" w:rsidRDefault="00CA35B6" w:rsidP="002B635E">
      <w:pPr>
        <w:pStyle w:val="Standard"/>
        <w:jc w:val="center"/>
        <w:rPr>
          <w:rFonts w:cs="Times New Roman"/>
          <w:b/>
        </w:rPr>
      </w:pPr>
    </w:p>
    <w:p w:rsidR="002F54A5" w:rsidRDefault="002F54A5" w:rsidP="002B635E">
      <w:pPr>
        <w:pStyle w:val="Standard"/>
        <w:jc w:val="center"/>
        <w:rPr>
          <w:rFonts w:cs="Times New Roman"/>
          <w:b/>
        </w:rPr>
      </w:pPr>
    </w:p>
    <w:p w:rsidR="002B635E" w:rsidRDefault="002B635E" w:rsidP="002B635E">
      <w:pPr>
        <w:pStyle w:val="Standard"/>
        <w:jc w:val="center"/>
      </w:pPr>
      <w:r>
        <w:rPr>
          <w:rFonts w:cs="Times New Roman"/>
          <w:b/>
        </w:rPr>
        <w:t>CERTIFICATE OF SERVICE</w:t>
      </w:r>
    </w:p>
    <w:p w:rsidR="002B635E" w:rsidRPr="00ED7C6E" w:rsidRDefault="002B635E" w:rsidP="002B635E">
      <w:pPr>
        <w:pStyle w:val="Standard"/>
      </w:pPr>
      <w:r>
        <w:rPr>
          <w:rFonts w:cs="Times New Roman"/>
        </w:rPr>
        <w:tab/>
        <w:t>I hereby certify that I, , served a true and correct co</w:t>
      </w:r>
      <w:r w:rsidR="00FA76E8">
        <w:rPr>
          <w:rFonts w:cs="Times New Roman"/>
        </w:rPr>
        <w:t>py of: (1) DEMURRER</w:t>
      </w:r>
      <w:r w:rsidR="0029546D">
        <w:rPr>
          <w:rFonts w:cs="Times New Roman"/>
        </w:rPr>
        <w:t xml:space="preserve">, </w:t>
      </w:r>
      <w:r w:rsidR="00242757">
        <w:rPr>
          <w:rFonts w:cs="Times New Roman"/>
        </w:rPr>
        <w:t xml:space="preserve">[  ] County v. [   ], </w:t>
      </w:r>
      <w:r w:rsidR="00630519">
        <w:rPr>
          <w:rFonts w:cs="Times New Roman"/>
        </w:rPr>
        <w:t>Case #</w:t>
      </w:r>
      <w:r w:rsidR="00F42FCA">
        <w:rPr>
          <w:rFonts w:cs="Times New Roman"/>
        </w:rPr>
        <w:t xml:space="preserve"> </w:t>
      </w:r>
      <w:r w:rsidR="00925B31">
        <w:rPr>
          <w:rFonts w:cs="Times New Roman"/>
        </w:rPr>
        <w:t xml:space="preserve">in the </w:t>
      </w:r>
      <w:r w:rsidR="00892836">
        <w:rPr>
          <w:rFonts w:cs="Times New Roman"/>
        </w:rPr>
        <w:t>Circuit</w:t>
      </w:r>
      <w:r w:rsidR="00A150BE">
        <w:rPr>
          <w:rFonts w:cs="Times New Roman"/>
        </w:rPr>
        <w:t xml:space="preserve"> </w:t>
      </w:r>
      <w:r w:rsidR="00925B31">
        <w:rPr>
          <w:rFonts w:cs="Times New Roman"/>
        </w:rPr>
        <w:t xml:space="preserve">Court of </w:t>
      </w:r>
      <w:r w:rsidR="00242757">
        <w:rPr>
          <w:rFonts w:cs="Times New Roman"/>
        </w:rPr>
        <w:t>[   ]</w:t>
      </w:r>
      <w:r>
        <w:rPr>
          <w:rFonts w:cs="Times New Roman"/>
        </w:rPr>
        <w:t xml:space="preserve">, </w:t>
      </w:r>
      <w:r w:rsidR="00A150BE">
        <w:rPr>
          <w:rFonts w:cs="Times New Roman"/>
        </w:rPr>
        <w:t>State of Oregon</w:t>
      </w:r>
      <w:r>
        <w:rPr>
          <w:rFonts w:cs="Times New Roman"/>
        </w:rPr>
        <w:t xml:space="preserve"> on the date indicated below by placing the documents in a sealed envelope addressed to the person at the address listed below and delivered by:</w:t>
      </w:r>
    </w:p>
    <w:p w:rsidR="002B635E" w:rsidRDefault="002B635E" w:rsidP="002B635E">
      <w:pPr>
        <w:pStyle w:val="Standard"/>
      </w:pPr>
      <w:r>
        <w:rPr>
          <w:rFonts w:cs="Times New Roman"/>
        </w:rPr>
        <w:tab/>
      </w:r>
    </w:p>
    <w:p w:rsidR="002B635E" w:rsidRDefault="00800F26" w:rsidP="002B635E">
      <w:pPr>
        <w:pStyle w:val="Standard"/>
        <w:ind w:firstLine="720"/>
      </w:pPr>
      <w:r>
        <w:rPr>
          <w:rFonts w:cs="Times New Roman"/>
        </w:rPr>
        <w:t>[</w:t>
      </w:r>
      <w:r w:rsidR="00892836">
        <w:rPr>
          <w:rFonts w:cs="Times New Roman"/>
        </w:rPr>
        <w:t>X</w:t>
      </w:r>
      <w:r w:rsidR="002B635E">
        <w:rPr>
          <w:rFonts w:cs="Times New Roman"/>
        </w:rPr>
        <w:t>]</w:t>
      </w:r>
      <w:r w:rsidR="002B635E">
        <w:rPr>
          <w:rFonts w:cs="Times New Roman"/>
        </w:rPr>
        <w:tab/>
        <w:t>via regular mail.</w:t>
      </w:r>
    </w:p>
    <w:p w:rsidR="002B635E" w:rsidRDefault="002B635E" w:rsidP="002B635E">
      <w:pPr>
        <w:pStyle w:val="Standard"/>
        <w:ind w:firstLine="720"/>
        <w:rPr>
          <w:rFonts w:cs="Times New Roman"/>
        </w:rPr>
      </w:pPr>
    </w:p>
    <w:p w:rsidR="002B635E" w:rsidRDefault="00800F26" w:rsidP="002B635E">
      <w:pPr>
        <w:pStyle w:val="Standard"/>
      </w:pPr>
      <w:r>
        <w:rPr>
          <w:rFonts w:cs="Times New Roman"/>
        </w:rPr>
        <w:tab/>
        <w:t>[</w:t>
      </w:r>
      <w:r w:rsidR="00892836">
        <w:rPr>
          <w:rFonts w:cs="Times New Roman"/>
        </w:rPr>
        <w:t xml:space="preserve">   </w:t>
      </w:r>
      <w:r w:rsidR="002B635E">
        <w:rPr>
          <w:rFonts w:cs="Times New Roman"/>
        </w:rPr>
        <w:t>]</w:t>
      </w:r>
      <w:r w:rsidR="002B635E">
        <w:rPr>
          <w:rFonts w:cs="Times New Roman"/>
        </w:rPr>
        <w:tab/>
        <w:t>hand delivery.</w:t>
      </w:r>
    </w:p>
    <w:p w:rsidR="002B635E" w:rsidRDefault="002B635E" w:rsidP="002B635E">
      <w:pPr>
        <w:pStyle w:val="Standard"/>
        <w:rPr>
          <w:rFonts w:cs="Times New Roman"/>
        </w:rPr>
      </w:pPr>
    </w:p>
    <w:p w:rsidR="002B635E" w:rsidRDefault="002B635E" w:rsidP="002B635E">
      <w:pPr>
        <w:pStyle w:val="Standard"/>
      </w:pPr>
      <w:r>
        <w:rPr>
          <w:rFonts w:cs="Times New Roman"/>
        </w:rPr>
        <w:tab/>
        <w:t xml:space="preserve">[   ] </w:t>
      </w:r>
      <w:r>
        <w:rPr>
          <w:rFonts w:cs="Times New Roman"/>
        </w:rPr>
        <w:tab/>
        <w:t>fax transmission.</w:t>
      </w:r>
    </w:p>
    <w:p w:rsidR="002B635E" w:rsidRDefault="002B635E" w:rsidP="002B635E">
      <w:pPr>
        <w:pStyle w:val="Standard"/>
        <w:rPr>
          <w:rFonts w:cs="Times New Roman"/>
        </w:rPr>
      </w:pPr>
    </w:p>
    <w:p w:rsidR="002B635E" w:rsidRDefault="002B635E" w:rsidP="002B635E">
      <w:pPr>
        <w:pStyle w:val="Standard"/>
      </w:pPr>
      <w:r>
        <w:rPr>
          <w:rFonts w:cs="Times New Roman"/>
        </w:rPr>
        <w:tab/>
        <w:t>[   ]</w:t>
      </w:r>
      <w:r>
        <w:rPr>
          <w:rFonts w:cs="Times New Roman"/>
        </w:rPr>
        <w:tab/>
        <w:t>overnight delivery.</w:t>
      </w:r>
    </w:p>
    <w:p w:rsidR="002B635E" w:rsidRDefault="002B635E" w:rsidP="002B635E">
      <w:pPr>
        <w:pStyle w:val="Standard"/>
        <w:rPr>
          <w:rFonts w:cs="Times New Roman"/>
        </w:rPr>
      </w:pPr>
    </w:p>
    <w:p w:rsidR="0081254D" w:rsidRDefault="0081254D" w:rsidP="002B635E">
      <w:pPr>
        <w:pStyle w:val="Standard"/>
        <w:rPr>
          <w:rFonts w:cs="Times New Roman"/>
        </w:rPr>
      </w:pPr>
    </w:p>
    <w:p w:rsidR="002A335D" w:rsidRPr="004C265E" w:rsidRDefault="00020CB2" w:rsidP="002A335D">
      <w:pPr>
        <w:pStyle w:val="Standard"/>
        <w:rPr>
          <w:rFonts w:cs="Times New Roman"/>
        </w:rPr>
      </w:pPr>
      <w:r>
        <w:rPr>
          <w:rFonts w:cs="Times New Roman"/>
        </w:rPr>
        <w:tab/>
      </w:r>
    </w:p>
    <w:p w:rsidR="004C265E" w:rsidRPr="004C265E" w:rsidRDefault="004C265E" w:rsidP="004C265E">
      <w:pPr>
        <w:pStyle w:val="Standard"/>
        <w:ind w:firstLine="720"/>
        <w:rPr>
          <w:rFonts w:cs="Times New Roman"/>
        </w:rPr>
      </w:pPr>
      <w:r w:rsidRPr="004C265E">
        <w:rPr>
          <w:rFonts w:cs="Times New Roman"/>
        </w:rPr>
        <w:t>District Attorney</w:t>
      </w:r>
    </w:p>
    <w:p w:rsidR="00CA35B6" w:rsidRDefault="00CA35B6" w:rsidP="004C265E">
      <w:pPr>
        <w:pStyle w:val="Standard"/>
        <w:ind w:firstLine="720"/>
        <w:rPr>
          <w:rFonts w:cs="Times New Roman"/>
        </w:rPr>
      </w:pPr>
    </w:p>
    <w:p w:rsidR="002B635E" w:rsidRDefault="002B635E" w:rsidP="002B635E">
      <w:pPr>
        <w:pStyle w:val="Standard"/>
        <w:rPr>
          <w:rFonts w:cs="Times New Roman"/>
        </w:rPr>
      </w:pPr>
    </w:p>
    <w:p w:rsidR="002B635E" w:rsidRDefault="002B635E" w:rsidP="002B635E">
      <w:pPr>
        <w:pStyle w:val="Standard"/>
      </w:pPr>
      <w:r>
        <w:rPr>
          <w:rFonts w:cs="Times New Roman"/>
        </w:rPr>
        <w:t>DA</w:t>
      </w:r>
      <w:r w:rsidR="007579D2">
        <w:rPr>
          <w:rFonts w:cs="Times New Roman"/>
        </w:rPr>
        <w:t xml:space="preserve">TED this </w:t>
      </w:r>
      <w:r w:rsidR="00E97EF5">
        <w:rPr>
          <w:rFonts w:cs="Times New Roman"/>
        </w:rPr>
        <w:t xml:space="preserve">______ day of </w:t>
      </w:r>
      <w:r w:rsidR="002A335D">
        <w:rPr>
          <w:rFonts w:cs="Times New Roman"/>
        </w:rPr>
        <w:t>June, 2020</w:t>
      </w:r>
    </w:p>
    <w:p w:rsidR="002B635E" w:rsidRDefault="002B635E" w:rsidP="002B635E">
      <w:pPr>
        <w:pStyle w:val="Standard"/>
        <w:rPr>
          <w:rFonts w:cs="Times New Roman"/>
        </w:rPr>
      </w:pPr>
    </w:p>
    <w:p w:rsidR="002B635E" w:rsidRDefault="002B635E" w:rsidP="002B635E">
      <w:pPr>
        <w:pStyle w:val="Standard"/>
        <w:rPr>
          <w:rFonts w:cs="Times New Roman"/>
        </w:rPr>
      </w:pPr>
    </w:p>
    <w:p w:rsidR="002B635E" w:rsidRPr="00F31FA3" w:rsidRDefault="002B635E" w:rsidP="002B635E">
      <w:pPr>
        <w:pStyle w:val="Standard"/>
        <w:rPr>
          <w:rFonts w:cs="Times New Roman"/>
        </w:rPr>
      </w:pPr>
    </w:p>
    <w:p w:rsidR="002B635E" w:rsidRPr="00F31FA3" w:rsidRDefault="002B635E" w:rsidP="002B635E">
      <w:pPr>
        <w:pStyle w:val="Standard"/>
        <w:rPr>
          <w:rFonts w:cs="Times New Roman"/>
        </w:rPr>
      </w:pPr>
      <w:r w:rsidRPr="00F31FA3">
        <w:rPr>
          <w:rFonts w:cs="Times New Roman"/>
        </w:rPr>
        <w:t>_______________________________</w:t>
      </w:r>
      <w:r w:rsidRPr="00F31FA3">
        <w:rPr>
          <w:rFonts w:cs="Times New Roman"/>
        </w:rPr>
        <w:tab/>
      </w:r>
    </w:p>
    <w:p w:rsidR="004C265E" w:rsidRPr="004C265E" w:rsidRDefault="004C265E" w:rsidP="004C265E">
      <w:pPr>
        <w:pStyle w:val="Standard"/>
        <w:rPr>
          <w:rFonts w:cs="Times New Roman"/>
        </w:rPr>
      </w:pPr>
      <w:bookmarkStart w:id="0" w:name="_GoBack"/>
      <w:bookmarkEnd w:id="0"/>
      <w:r w:rsidRPr="004C265E">
        <w:rPr>
          <w:rFonts w:cs="Times New Roman"/>
        </w:rPr>
        <w:t>Attorney for Defendant</w:t>
      </w:r>
    </w:p>
    <w:p w:rsidR="002B635E" w:rsidRDefault="002B635E" w:rsidP="009345D0">
      <w:pPr>
        <w:pStyle w:val="Standard"/>
      </w:pPr>
    </w:p>
    <w:p w:rsidR="001140F0" w:rsidRPr="009345D0" w:rsidRDefault="001140F0" w:rsidP="009345D0"/>
    <w:sectPr w:rsidR="001140F0" w:rsidRPr="009345D0" w:rsidSect="0089625A">
      <w:headerReference w:type="default" r:id="rId9"/>
      <w:footerReference w:type="default" r:id="rId10"/>
      <w:pgSz w:w="12240" w:h="15840" w:code="1"/>
      <w:pgMar w:top="1440" w:right="1440" w:bottom="1872" w:left="1440" w:footer="144"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06E4" w:rsidRDefault="009A06E4">
      <w:r>
        <w:separator/>
      </w:r>
    </w:p>
    <w:p w:rsidR="009A06E4" w:rsidRDefault="009A06E4"/>
  </w:endnote>
  <w:endnote w:type="continuationSeparator" w:id="0">
    <w:p w:rsidR="009A06E4" w:rsidRDefault="009A06E4">
      <w:r>
        <w:continuationSeparator/>
      </w:r>
    </w:p>
    <w:p w:rsidR="009A06E4" w:rsidRDefault="009A06E4"/>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altName w:val="Myriad Pro Bold"/>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Mangal">
    <w:panose1 w:val="00000000000000000000"/>
    <w:charset w:val="01"/>
    <w:family w:val="roman"/>
    <w:notTrueType/>
    <w:pitch w:val="variable"/>
    <w:sig w:usb0="00002000" w:usb1="00000000" w:usb2="00000000" w:usb3="00000000" w:csb0="00000000" w:csb1="00000000"/>
  </w:font>
  <w:font w:name="Constantia">
    <w:panose1 w:val="020306020503060303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210" w:rsidRDefault="00387F9C">
    <w:pPr>
      <w:pStyle w:val="Footer"/>
    </w:pPr>
    <w:sdt>
      <w:sdtPr>
        <w:alias w:val="Pleading Title"/>
        <w:tag w:val=""/>
        <w:id w:val="1878659458"/>
        <w:dataBinding w:prefixMappings="xmlns:ns0='http://purl.org/dc/elements/1.1/' xmlns:ns1='http://schemas.openxmlformats.org/package/2006/metadata/core-properties' " w:xpath="/ns1:coreProperties[1]/ns0:title[1]" w:storeItemID="{6C3C8BC8-F283-45AE-878A-BAB7291924A1}"/>
        <w:text/>
      </w:sdtPr>
      <w:sdtContent>
        <w:r w:rsidR="00FA76E8">
          <w:t>demurrer</w:t>
        </w:r>
        <w:r w:rsidR="00CB4210">
          <w:t xml:space="preserve"> &amp; Certificate of service</w:t>
        </w:r>
      </w:sdtContent>
    </w:sdt>
    <w:r w:rsidR="00CB4210">
      <w:t xml:space="preserve"> - </w:t>
    </w:r>
    <w:fldSimple w:instr=" PAGE   \* MERGEFORMAT ">
      <w:r w:rsidR="00BD1942">
        <w:rPr>
          <w:noProof/>
        </w:rPr>
        <w:t>2</w:t>
      </w:r>
    </w:fldSimple>
  </w:p>
  <w:p w:rsidR="00CB4210" w:rsidRPr="007C3E10" w:rsidRDefault="00CB4210" w:rsidP="0089625A">
    <w:pPr>
      <w:spacing w:after="0" w:line="240" w:lineRule="auto"/>
      <w:jc w:val="center"/>
      <w:rPr>
        <w:b/>
        <w:sz w:val="20"/>
        <w:szCs w:val="20"/>
        <w:u w:val="single"/>
      </w:rPr>
    </w:pPr>
    <w:r w:rsidRPr="00390BA4">
      <w:rPr>
        <w:rFonts w:ascii="Constantia" w:hAnsi="Constantia"/>
        <w:b/>
        <w:bCs/>
        <w:noProof/>
        <w:sz w:val="20"/>
        <w:szCs w:val="20"/>
      </w:rPr>
      <w:drawing>
        <wp:anchor distT="0" distB="0" distL="114300" distR="114300" simplePos="0" relativeHeight="251661312" behindDoc="0" locked="0" layoutInCell="1" allowOverlap="1">
          <wp:simplePos x="0" y="0"/>
          <wp:positionH relativeFrom="margin">
            <wp:posOffset>2371725</wp:posOffset>
          </wp:positionH>
          <wp:positionV relativeFrom="paragraph">
            <wp:posOffset>16510</wp:posOffset>
          </wp:positionV>
          <wp:extent cx="133350" cy="131445"/>
          <wp:effectExtent l="0" t="0" r="0" b="1905"/>
          <wp:wrapNone/>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33350" cy="131445"/>
                  </a:xfrm>
                  <a:prstGeom prst="rect">
                    <a:avLst/>
                  </a:prstGeom>
                  <a:noFill/>
                  <a:ln>
                    <a:noFill/>
                    <a:prstDash/>
                  </a:ln>
                </pic:spPr>
              </pic:pic>
            </a:graphicData>
          </a:graphic>
        </wp:anchor>
      </w:drawing>
    </w:r>
    <w:r>
      <w:rPr>
        <w:b/>
        <w:sz w:val="20"/>
        <w:szCs w:val="20"/>
      </w:rPr>
      <w:t xml:space="preserve">     </w:t>
    </w:r>
    <w:r w:rsidRPr="007C3E10">
      <w:rPr>
        <w:b/>
        <w:sz w:val="20"/>
        <w:szCs w:val="20"/>
        <w:u w:val="single"/>
      </w:rPr>
      <w:t>Hunking Law, LLC</w:t>
    </w:r>
  </w:p>
  <w:p w:rsidR="00CB4210" w:rsidRPr="007C3E10" w:rsidRDefault="00CB4210" w:rsidP="0089625A">
    <w:pPr>
      <w:spacing w:after="0" w:line="240" w:lineRule="auto"/>
      <w:jc w:val="center"/>
      <w:rPr>
        <w:sz w:val="20"/>
        <w:szCs w:val="20"/>
      </w:rPr>
    </w:pPr>
    <w:r w:rsidRPr="007C3E10">
      <w:rPr>
        <w:sz w:val="20"/>
        <w:szCs w:val="20"/>
      </w:rPr>
      <w:t>566 NW Van Buren Ave.</w:t>
    </w:r>
  </w:p>
  <w:p w:rsidR="00CB4210" w:rsidRPr="007C3E10" w:rsidRDefault="00CB4210" w:rsidP="0089625A">
    <w:pPr>
      <w:spacing w:after="0" w:line="240" w:lineRule="auto"/>
      <w:jc w:val="center"/>
      <w:rPr>
        <w:sz w:val="20"/>
        <w:szCs w:val="20"/>
      </w:rPr>
    </w:pPr>
    <w:r w:rsidRPr="007C3E10">
      <w:rPr>
        <w:sz w:val="20"/>
        <w:szCs w:val="20"/>
      </w:rPr>
      <w:t>Corvallis, Oregon 97330</w:t>
    </w:r>
  </w:p>
  <w:p w:rsidR="00CB4210" w:rsidRPr="00497518" w:rsidRDefault="00CB4210" w:rsidP="0089625A">
    <w:pPr>
      <w:spacing w:after="0" w:line="240" w:lineRule="auto"/>
      <w:jc w:val="center"/>
      <w:rPr>
        <w:sz w:val="20"/>
        <w:szCs w:val="20"/>
      </w:rPr>
    </w:pPr>
    <w:r w:rsidRPr="007C3E10">
      <w:rPr>
        <w:sz w:val="20"/>
        <w:szCs w:val="20"/>
      </w:rPr>
      <w:t>(541)486-5464</w:t>
    </w:r>
  </w:p>
  <w:p w:rsidR="00CB4210" w:rsidRDefault="00CB4210">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06E4" w:rsidRDefault="009A06E4">
      <w:r>
        <w:separator/>
      </w:r>
    </w:p>
    <w:p w:rsidR="009A06E4" w:rsidRDefault="009A06E4"/>
  </w:footnote>
  <w:footnote w:type="continuationSeparator" w:id="0">
    <w:p w:rsidR="009A06E4" w:rsidRDefault="009A06E4">
      <w:r>
        <w:continuationSeparator/>
      </w:r>
    </w:p>
    <w:p w:rsidR="009A06E4" w:rsidRDefault="009A06E4"/>
  </w:footnote>
  <w:footnote w:id="1">
    <w:p w:rsidR="00882618" w:rsidRPr="00882618" w:rsidRDefault="00882618" w:rsidP="00882618">
      <w:pPr>
        <w:pStyle w:val="NormalWeb"/>
        <w:rPr>
          <w:sz w:val="20"/>
          <w:szCs w:val="20"/>
        </w:rPr>
      </w:pPr>
      <w:r>
        <w:rPr>
          <w:rStyle w:val="FootnoteReference"/>
        </w:rPr>
        <w:footnoteRef/>
      </w:r>
      <w:r>
        <w:t xml:space="preserve"> </w:t>
      </w:r>
      <w:r w:rsidRPr="00882618">
        <w:rPr>
          <w:sz w:val="20"/>
          <w:szCs w:val="20"/>
        </w:rPr>
        <w:t xml:space="preserve">According to the Federal Register, 58 national emergencies have been declared since the National Emergency Act of 1976 was signed into law by President Gerald Ford. And 31 have been annually renewed and are currently still in effect, as listed in the Federal Register. </w:t>
      </w:r>
    </w:p>
    <w:p w:rsidR="00882618" w:rsidRDefault="00882618">
      <w:pPr>
        <w:pStyle w:val="FootnoteText"/>
      </w:pPr>
    </w:p>
  </w:footnote>
  <w:footnote w:id="2">
    <w:p w:rsidR="00D87986" w:rsidRDefault="00D87986">
      <w:pPr>
        <w:pStyle w:val="FootnoteText"/>
      </w:pPr>
      <w:r>
        <w:rPr>
          <w:rStyle w:val="FootnoteReference"/>
        </w:rPr>
        <w:footnoteRef/>
      </w:r>
      <w:r>
        <w:t xml:space="preserve"> Oregon Laws Chapter 706 Section 10 changed the law from "The theft is committed during a riot, fire, explosion, catastrophe or other emergency in an area affected thereby; or" to "...in an area affected by the riot, fire, explosion, catastrophe or other emergency;"</w:t>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210" w:rsidRDefault="00387F9C">
    <w:pPr>
      <w:rPr>
        <w:color w:val="FFFFFF" w:themeColor="background1"/>
      </w:rPr>
    </w:pPr>
    <w:r>
      <w:rPr>
        <w:noProof/>
        <w:color w:val="FFFFFF" w:themeColor="background1"/>
      </w:rPr>
      <w:pict>
        <v:group id="Group 5" o:spid="_x0000_s4097" alt="Left and right page borders" style="position:absolute;margin-left:64.8pt;margin-top:0;width:474.5pt;height:11in;z-index:-251658240;mso-position-horizontal-relative:page;mso-position-vertical:top;mso-position-vertical-relative:page;mso-width-relative:margin" coordsize="60298,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">
          <v:line id="LeftBorder1" o:spid="_x0000_s4100" style="position:absolute;visibility:visible;mso-wrap-style:square" from="517,0" to="517,100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8XMMIAAADaAAAADwAAAGRycy9kb3ducmV2LnhtbERPTWvCQBC9C/6HZYTedGMLoURXEaWg&#10;PZRqBT2O2TGJZmfD7jZJ/31XKPQ0PN7nzJe9qUVLzleWFUwnCQji3OqKCwXHr7fxKwgfkDXWlknB&#10;D3lYLoaDOWbadryn9hAKEUPYZ6igDKHJpPR5SQb9xDbEkbtaZzBE6AqpHXYx3NTyOUlSabDi2FBi&#10;Q+uS8vvh2yj4ePlM29Xufdufdukl3+wv51vnlHoa9asZiEB9+Bf/ubc6zofHK48rF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i8XMMIAAADaAAAADwAAAAAAAAAAAAAA&#10;AAChAgAAZHJzL2Rvd25yZXYueG1sUEsFBgAAAAAEAAQA+QAAAJADAAAAAA==&#10;"/>
          <v:line id="LeftBorder2" o:spid="_x0000_s4099" style="position:absolute;visibility:visible;mso-wrap-style:square" from="0,0" to="0,100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2JR8QAAADaAAAADwAAAGRycy9kb3ducmV2LnhtbESPQWvCQBSE74L/YXlCb7rRQijRVUQp&#10;aA+lWkGPz+wziWbfht1tkv77bqHQ4zAz3zCLVW9q0ZLzlWUF00kCgji3uuJCwenzdfwCwgdkjbVl&#10;UvBNHlbL4WCBmbYdH6g9hkJECPsMFZQhNJmUPi/JoJ/Yhjh6N+sMhihdIbXDLsJNLWdJkkqDFceF&#10;EhvalJQ/jl9Gwfv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lHxAAAANoAAAAPAAAAAAAAAAAA&#10;AAAAAKECAABkcnMvZG93bnJldi54bWxQSwUGAAAAAAQABAD5AAAAkgMAAAAA&#10;"/>
          <v:line id="RightBorder" o:spid="_x0000_s4098" style="position:absolute;visibility:visible;mso-wrap-style:square" from="60298,0" to="60298,100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w10:wrap anchorx="page" anchory="page"/>
        </v:group>
      </w:pict>
    </w:r>
    <w:r>
      <w:rPr>
        <w:noProof/>
        <w:color w:val="FFFFFF" w:themeColor="background1"/>
      </w:rPr>
      <w:pict>
        <v:shapetype id="_x0000_t202" coordsize="21600,21600" o:spt="202" path="m0,0l0,21600,21600,21600,21600,0xe">
          <v:stroke joinstyle="miter"/>
          <v:path gradientshapeok="t" o:connecttype="rect"/>
        </v:shapetype>
        <v:shape id="LineNumbers" o:spid="_x0000_s4096" type="#_x0000_t202" alt="Line numbers from 1 to 32" style="position:absolute;margin-left:21.6pt;margin-top:1in;width:36pt;height:640.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" stroked="f">
          <v:textbox inset="0,0,0,0">
            <w:txbxContent>
              <w:p w:rsidR="00CB4210" w:rsidRDefault="00CB4210">
                <w:pPr>
                  <w:pStyle w:val="LineNumbers"/>
                </w:pPr>
                <w:r>
                  <w:t>1</w:t>
                </w:r>
              </w:p>
              <w:p w:rsidR="00CB4210" w:rsidRDefault="00CB4210">
                <w:pPr>
                  <w:pStyle w:val="LineNumbers"/>
                </w:pPr>
                <w:r>
                  <w:t>2</w:t>
                </w:r>
              </w:p>
              <w:p w:rsidR="00CB4210" w:rsidRDefault="00CB4210">
                <w:pPr>
                  <w:pStyle w:val="LineNumbers"/>
                </w:pPr>
                <w:r>
                  <w:t>3</w:t>
                </w:r>
              </w:p>
              <w:p w:rsidR="00CB4210" w:rsidRDefault="00CB4210">
                <w:pPr>
                  <w:pStyle w:val="LineNumbers"/>
                </w:pPr>
                <w:r>
                  <w:t>4</w:t>
                </w:r>
              </w:p>
              <w:p w:rsidR="00CB4210" w:rsidRDefault="00CB4210">
                <w:pPr>
                  <w:pStyle w:val="LineNumbers"/>
                </w:pPr>
                <w:r>
                  <w:t>5</w:t>
                </w:r>
              </w:p>
              <w:p w:rsidR="00CB4210" w:rsidRDefault="00CB4210">
                <w:pPr>
                  <w:pStyle w:val="LineNumbers"/>
                </w:pPr>
                <w:r>
                  <w:t>6</w:t>
                </w:r>
              </w:p>
              <w:p w:rsidR="00CB4210" w:rsidRDefault="00CB4210">
                <w:pPr>
                  <w:pStyle w:val="LineNumbers"/>
                </w:pPr>
                <w:r>
                  <w:t>7</w:t>
                </w:r>
              </w:p>
              <w:p w:rsidR="00CB4210" w:rsidRDefault="00CB4210">
                <w:pPr>
                  <w:pStyle w:val="LineNumbers"/>
                </w:pPr>
                <w:r>
                  <w:t>8</w:t>
                </w:r>
              </w:p>
              <w:p w:rsidR="00CB4210" w:rsidRDefault="00CB4210">
                <w:pPr>
                  <w:pStyle w:val="LineNumbers"/>
                </w:pPr>
                <w:r>
                  <w:t>9</w:t>
                </w:r>
              </w:p>
              <w:p w:rsidR="00CB4210" w:rsidRDefault="00CB4210">
                <w:pPr>
                  <w:pStyle w:val="LineNumbers"/>
                </w:pPr>
                <w:r>
                  <w:t>10</w:t>
                </w:r>
              </w:p>
              <w:p w:rsidR="00CB4210" w:rsidRDefault="00CB4210">
                <w:pPr>
                  <w:pStyle w:val="LineNumbers"/>
                </w:pPr>
                <w:r>
                  <w:t>11</w:t>
                </w:r>
              </w:p>
              <w:p w:rsidR="00CB4210" w:rsidRDefault="00CB4210">
                <w:pPr>
                  <w:pStyle w:val="LineNumbers"/>
                </w:pPr>
                <w:r>
                  <w:t>12</w:t>
                </w:r>
              </w:p>
              <w:p w:rsidR="00CB4210" w:rsidRDefault="00CB4210">
                <w:pPr>
                  <w:pStyle w:val="LineNumbers"/>
                </w:pPr>
                <w:r>
                  <w:t>13</w:t>
                </w:r>
              </w:p>
              <w:p w:rsidR="00CB4210" w:rsidRDefault="00CB4210">
                <w:pPr>
                  <w:pStyle w:val="LineNumbers"/>
                </w:pPr>
                <w:r>
                  <w:t>14</w:t>
                </w:r>
              </w:p>
              <w:p w:rsidR="00CB4210" w:rsidRDefault="00CB4210">
                <w:pPr>
                  <w:pStyle w:val="LineNumbers"/>
                </w:pPr>
                <w:r>
                  <w:t>15</w:t>
                </w:r>
              </w:p>
              <w:p w:rsidR="00CB4210" w:rsidRDefault="00CB4210">
                <w:pPr>
                  <w:pStyle w:val="LineNumbers"/>
                </w:pPr>
                <w:r>
                  <w:t>16</w:t>
                </w:r>
              </w:p>
              <w:p w:rsidR="00CB4210" w:rsidRDefault="00CB4210">
                <w:pPr>
                  <w:pStyle w:val="LineNumbers"/>
                </w:pPr>
                <w:r>
                  <w:t>17</w:t>
                </w:r>
              </w:p>
              <w:p w:rsidR="00CB4210" w:rsidRDefault="00CB4210">
                <w:pPr>
                  <w:pStyle w:val="LineNumbers"/>
                </w:pPr>
                <w:r>
                  <w:t>18</w:t>
                </w:r>
              </w:p>
              <w:p w:rsidR="00CB4210" w:rsidRDefault="00CB4210">
                <w:pPr>
                  <w:pStyle w:val="LineNumbers"/>
                </w:pPr>
                <w:r>
                  <w:t>19</w:t>
                </w:r>
              </w:p>
              <w:p w:rsidR="00CB4210" w:rsidRDefault="00CB4210">
                <w:pPr>
                  <w:pStyle w:val="LineNumbers"/>
                </w:pPr>
                <w:r>
                  <w:t>20</w:t>
                </w:r>
              </w:p>
              <w:p w:rsidR="00CB4210" w:rsidRDefault="00CB4210">
                <w:pPr>
                  <w:pStyle w:val="LineNumbers"/>
                </w:pPr>
                <w:r>
                  <w:t>21</w:t>
                </w:r>
              </w:p>
              <w:p w:rsidR="00CB4210" w:rsidRDefault="00CB4210">
                <w:pPr>
                  <w:pStyle w:val="LineNumbers"/>
                </w:pPr>
                <w:r>
                  <w:t>22</w:t>
                </w:r>
              </w:p>
              <w:p w:rsidR="00CB4210" w:rsidRDefault="00CB4210">
                <w:pPr>
                  <w:pStyle w:val="LineNumbers"/>
                </w:pPr>
                <w:r>
                  <w:t>23</w:t>
                </w:r>
              </w:p>
              <w:p w:rsidR="00CB4210" w:rsidRDefault="00CB4210">
                <w:pPr>
                  <w:pStyle w:val="LineNumbers"/>
                </w:pPr>
                <w:r>
                  <w:t>24</w:t>
                </w:r>
              </w:p>
              <w:p w:rsidR="00CB4210" w:rsidRDefault="00CB4210">
                <w:pPr>
                  <w:pStyle w:val="LineNumbers"/>
                </w:pPr>
                <w:r>
                  <w:t>25</w:t>
                </w:r>
              </w:p>
              <w:p w:rsidR="00CB4210" w:rsidRDefault="00CB4210">
                <w:pPr>
                  <w:pStyle w:val="LineNumbers"/>
                </w:pPr>
                <w:r>
                  <w:t>26</w:t>
                </w:r>
              </w:p>
              <w:p w:rsidR="00CB4210" w:rsidRDefault="00CB4210">
                <w:pPr>
                  <w:pStyle w:val="LineNumbers"/>
                </w:pPr>
                <w:r>
                  <w:t>27</w:t>
                </w:r>
              </w:p>
              <w:p w:rsidR="00CB4210" w:rsidRDefault="00CB4210">
                <w:pPr>
                  <w:pStyle w:val="LineNumbers"/>
                </w:pPr>
                <w:r>
                  <w:t>28</w:t>
                </w:r>
              </w:p>
              <w:p w:rsidR="00CB4210" w:rsidRDefault="00CB4210">
                <w:pPr>
                  <w:pStyle w:val="LineNumbers"/>
                </w:pPr>
                <w:r>
                  <w:t>29</w:t>
                </w:r>
              </w:p>
              <w:p w:rsidR="00CB4210" w:rsidRDefault="00CB4210">
                <w:pPr>
                  <w:pStyle w:val="LineNumbers"/>
                </w:pPr>
                <w:r>
                  <w:t>30</w:t>
                </w:r>
              </w:p>
              <w:p w:rsidR="00CB4210" w:rsidRDefault="00CB4210">
                <w:pPr>
                  <w:pStyle w:val="LineNumbers"/>
                </w:pPr>
                <w:r>
                  <w:t>31</w:t>
                </w:r>
              </w:p>
              <w:p w:rsidR="00CB4210" w:rsidRDefault="00CB4210">
                <w:pPr>
                  <w:pStyle w:val="LineNumbers"/>
                </w:pPr>
                <w:r>
                  <w:t>32</w:t>
                </w:r>
              </w:p>
              <w:p w:rsidR="00CB4210" w:rsidRDefault="00CB4210">
                <w:pPr>
                  <w:pStyle w:val="LineNumbers"/>
                </w:pPr>
              </w:p>
              <w:p w:rsidR="00CB4210" w:rsidRDefault="00CB4210">
                <w:pPr>
                  <w:pStyle w:val="LineNumbers"/>
                </w:pPr>
              </w:p>
              <w:p w:rsidR="00CB4210" w:rsidRDefault="00CB4210">
                <w:pPr>
                  <w:pStyle w:val="LineNumbers"/>
                </w:pPr>
              </w:p>
            </w:txbxContent>
          </v:textbox>
          <w10:wrap anchorx="page" anchory="page"/>
          <w10:anchorlock/>
        </v:shape>
      </w:pict>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3CE8FDC"/>
    <w:lvl w:ilvl="0">
      <w:start w:val="1"/>
      <w:numFmt w:val="decimal"/>
      <w:lvlText w:val="%1."/>
      <w:lvlJc w:val="left"/>
      <w:pPr>
        <w:tabs>
          <w:tab w:val="num" w:pos="1800"/>
        </w:tabs>
        <w:ind w:left="1800" w:hanging="360"/>
      </w:pPr>
    </w:lvl>
  </w:abstractNum>
  <w:abstractNum w:abstractNumId="1">
    <w:nsid w:val="FFFFFF7D"/>
    <w:multiLevelType w:val="singleLevel"/>
    <w:tmpl w:val="189ED2C0"/>
    <w:lvl w:ilvl="0">
      <w:start w:val="1"/>
      <w:numFmt w:val="decimal"/>
      <w:lvlText w:val="%1."/>
      <w:lvlJc w:val="left"/>
      <w:pPr>
        <w:tabs>
          <w:tab w:val="num" w:pos="1440"/>
        </w:tabs>
        <w:ind w:left="1440" w:hanging="360"/>
      </w:pPr>
    </w:lvl>
  </w:abstractNum>
  <w:abstractNum w:abstractNumId="2">
    <w:nsid w:val="FFFFFF7E"/>
    <w:multiLevelType w:val="singleLevel"/>
    <w:tmpl w:val="851015A0"/>
    <w:lvl w:ilvl="0">
      <w:start w:val="1"/>
      <w:numFmt w:val="decimal"/>
      <w:lvlText w:val="%1."/>
      <w:lvlJc w:val="left"/>
      <w:pPr>
        <w:tabs>
          <w:tab w:val="num" w:pos="1080"/>
        </w:tabs>
        <w:ind w:left="1080" w:hanging="360"/>
      </w:pPr>
    </w:lvl>
  </w:abstractNum>
  <w:abstractNum w:abstractNumId="3">
    <w:nsid w:val="FFFFFF7F"/>
    <w:multiLevelType w:val="singleLevel"/>
    <w:tmpl w:val="49D83408"/>
    <w:lvl w:ilvl="0">
      <w:start w:val="1"/>
      <w:numFmt w:val="decimal"/>
      <w:lvlText w:val="%1."/>
      <w:lvlJc w:val="left"/>
      <w:pPr>
        <w:tabs>
          <w:tab w:val="num" w:pos="720"/>
        </w:tabs>
        <w:ind w:left="720" w:hanging="360"/>
      </w:pPr>
    </w:lvl>
  </w:abstractNum>
  <w:abstractNum w:abstractNumId="4">
    <w:nsid w:val="FFFFFF80"/>
    <w:multiLevelType w:val="singleLevel"/>
    <w:tmpl w:val="E258EE1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73448D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8707C2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7BE5AB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A70B1B6"/>
    <w:lvl w:ilvl="0">
      <w:start w:val="1"/>
      <w:numFmt w:val="decimal"/>
      <w:lvlText w:val="%1."/>
      <w:lvlJc w:val="left"/>
      <w:pPr>
        <w:tabs>
          <w:tab w:val="num" w:pos="360"/>
        </w:tabs>
        <w:ind w:left="360" w:hanging="360"/>
      </w:pPr>
    </w:lvl>
  </w:abstractNum>
  <w:abstractNum w:abstractNumId="9">
    <w:nsid w:val="FFFFFF89"/>
    <w:multiLevelType w:val="singleLevel"/>
    <w:tmpl w:val="F1389B2A"/>
    <w:lvl w:ilvl="0">
      <w:start w:val="1"/>
      <w:numFmt w:val="bullet"/>
      <w:lvlText w:val=""/>
      <w:lvlJc w:val="left"/>
      <w:pPr>
        <w:tabs>
          <w:tab w:val="num" w:pos="360"/>
        </w:tabs>
        <w:ind w:left="360" w:hanging="360"/>
      </w:pPr>
      <w:rPr>
        <w:rFonts w:ascii="Symbol" w:hAnsi="Symbol" w:hint="default"/>
      </w:rPr>
    </w:lvl>
  </w:abstractNum>
  <w:abstractNum w:abstractNumId="10">
    <w:nsid w:val="0715621F"/>
    <w:multiLevelType w:val="hybridMultilevel"/>
    <w:tmpl w:val="E5C41FEA"/>
    <w:lvl w:ilvl="0" w:tplc="6A7A23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9BE64C1"/>
    <w:multiLevelType w:val="hybridMultilevel"/>
    <w:tmpl w:val="EF3683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A313393"/>
    <w:multiLevelType w:val="hybridMultilevel"/>
    <w:tmpl w:val="97ECE3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EEF03F4"/>
    <w:multiLevelType w:val="hybridMultilevel"/>
    <w:tmpl w:val="E5C41FEA"/>
    <w:lvl w:ilvl="0" w:tplc="6A7A23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3"/>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attachedTemplate r:id="rId1"/>
  <w:doNotTrackMoves/>
  <w:defaultTabStop w:val="720"/>
  <w:characterSpacingControl w:val="doNotCompress"/>
  <w:hdrShapeDefaults>
    <o:shapedefaults v:ext="edit" spidmax="4104"/>
    <o:shapelayout v:ext="edit">
      <o:idmap v:ext="edit" data="4"/>
    </o:shapelayout>
  </w:hdrShapeDefaults>
  <w:footnotePr>
    <w:footnote w:id="-1"/>
    <w:footnote w:id="0"/>
  </w:footnotePr>
  <w:endnotePr>
    <w:endnote w:id="-1"/>
    <w:endnote w:id="0"/>
  </w:endnotePr>
  <w:compat>
    <w:useFELayout/>
  </w:compat>
  <w:rsids>
    <w:rsidRoot w:val="007E7F61"/>
    <w:rsid w:val="00020CB2"/>
    <w:rsid w:val="000746AC"/>
    <w:rsid w:val="00076162"/>
    <w:rsid w:val="000C3DC3"/>
    <w:rsid w:val="000E1267"/>
    <w:rsid w:val="001140F0"/>
    <w:rsid w:val="00125F2A"/>
    <w:rsid w:val="0013143C"/>
    <w:rsid w:val="00184F95"/>
    <w:rsid w:val="0019657D"/>
    <w:rsid w:val="001B045E"/>
    <w:rsid w:val="001C018D"/>
    <w:rsid w:val="001C4D73"/>
    <w:rsid w:val="001E6D9C"/>
    <w:rsid w:val="001F641F"/>
    <w:rsid w:val="002028E6"/>
    <w:rsid w:val="00211BC1"/>
    <w:rsid w:val="00242757"/>
    <w:rsid w:val="00250773"/>
    <w:rsid w:val="00253FC3"/>
    <w:rsid w:val="00267EE4"/>
    <w:rsid w:val="002758E5"/>
    <w:rsid w:val="00291D22"/>
    <w:rsid w:val="0029546D"/>
    <w:rsid w:val="002A335D"/>
    <w:rsid w:val="002B635E"/>
    <w:rsid w:val="002F54A5"/>
    <w:rsid w:val="00304D2A"/>
    <w:rsid w:val="00323D9B"/>
    <w:rsid w:val="00347332"/>
    <w:rsid w:val="0037251E"/>
    <w:rsid w:val="00387F9C"/>
    <w:rsid w:val="0039024A"/>
    <w:rsid w:val="00397A3D"/>
    <w:rsid w:val="003B0897"/>
    <w:rsid w:val="003C3984"/>
    <w:rsid w:val="003C5A26"/>
    <w:rsid w:val="003F3900"/>
    <w:rsid w:val="003F44DB"/>
    <w:rsid w:val="00403424"/>
    <w:rsid w:val="00407EE7"/>
    <w:rsid w:val="00407F23"/>
    <w:rsid w:val="00412EC0"/>
    <w:rsid w:val="00434140"/>
    <w:rsid w:val="00443E14"/>
    <w:rsid w:val="004508B3"/>
    <w:rsid w:val="00471177"/>
    <w:rsid w:val="004904B7"/>
    <w:rsid w:val="00495830"/>
    <w:rsid w:val="004A2021"/>
    <w:rsid w:val="004C241D"/>
    <w:rsid w:val="004C265E"/>
    <w:rsid w:val="004C61C1"/>
    <w:rsid w:val="004F1252"/>
    <w:rsid w:val="005360A0"/>
    <w:rsid w:val="00542B62"/>
    <w:rsid w:val="00556479"/>
    <w:rsid w:val="00577E48"/>
    <w:rsid w:val="005833AC"/>
    <w:rsid w:val="005974FD"/>
    <w:rsid w:val="005A0C34"/>
    <w:rsid w:val="005A4ACB"/>
    <w:rsid w:val="005D30D4"/>
    <w:rsid w:val="005F66CA"/>
    <w:rsid w:val="00630519"/>
    <w:rsid w:val="00632A79"/>
    <w:rsid w:val="00632BF5"/>
    <w:rsid w:val="006612D1"/>
    <w:rsid w:val="00696F6E"/>
    <w:rsid w:val="006C4E8D"/>
    <w:rsid w:val="006D1F5C"/>
    <w:rsid w:val="006E097F"/>
    <w:rsid w:val="006E6F01"/>
    <w:rsid w:val="00705C44"/>
    <w:rsid w:val="0071059B"/>
    <w:rsid w:val="007207E0"/>
    <w:rsid w:val="00750EB3"/>
    <w:rsid w:val="007579D2"/>
    <w:rsid w:val="00782347"/>
    <w:rsid w:val="00797B7E"/>
    <w:rsid w:val="007E7F61"/>
    <w:rsid w:val="007F6C90"/>
    <w:rsid w:val="00800F26"/>
    <w:rsid w:val="0081254D"/>
    <w:rsid w:val="00817ADA"/>
    <w:rsid w:val="008240DA"/>
    <w:rsid w:val="00882618"/>
    <w:rsid w:val="00892836"/>
    <w:rsid w:val="0089625A"/>
    <w:rsid w:val="008A0AE5"/>
    <w:rsid w:val="008A158E"/>
    <w:rsid w:val="008A2DA1"/>
    <w:rsid w:val="008A3A66"/>
    <w:rsid w:val="008A5CC3"/>
    <w:rsid w:val="008A5E22"/>
    <w:rsid w:val="009179CF"/>
    <w:rsid w:val="00925B31"/>
    <w:rsid w:val="00925E52"/>
    <w:rsid w:val="009345D0"/>
    <w:rsid w:val="00964891"/>
    <w:rsid w:val="00986845"/>
    <w:rsid w:val="009A06E4"/>
    <w:rsid w:val="009F169E"/>
    <w:rsid w:val="009F70EF"/>
    <w:rsid w:val="00A150BE"/>
    <w:rsid w:val="00A2215E"/>
    <w:rsid w:val="00A4184A"/>
    <w:rsid w:val="00A4334A"/>
    <w:rsid w:val="00A44AB1"/>
    <w:rsid w:val="00A47CC3"/>
    <w:rsid w:val="00A6026E"/>
    <w:rsid w:val="00A62D66"/>
    <w:rsid w:val="00A67798"/>
    <w:rsid w:val="00AA6879"/>
    <w:rsid w:val="00AD61FD"/>
    <w:rsid w:val="00AD7E36"/>
    <w:rsid w:val="00AE31DC"/>
    <w:rsid w:val="00AE45E2"/>
    <w:rsid w:val="00AE7DBD"/>
    <w:rsid w:val="00B05D2F"/>
    <w:rsid w:val="00B50DFB"/>
    <w:rsid w:val="00B769C7"/>
    <w:rsid w:val="00B91670"/>
    <w:rsid w:val="00B92505"/>
    <w:rsid w:val="00B9433E"/>
    <w:rsid w:val="00BA2EC1"/>
    <w:rsid w:val="00BA3406"/>
    <w:rsid w:val="00BB5311"/>
    <w:rsid w:val="00BB7B05"/>
    <w:rsid w:val="00BC10BD"/>
    <w:rsid w:val="00BD1942"/>
    <w:rsid w:val="00BE534E"/>
    <w:rsid w:val="00BF2FCA"/>
    <w:rsid w:val="00C43876"/>
    <w:rsid w:val="00C4563F"/>
    <w:rsid w:val="00C9736D"/>
    <w:rsid w:val="00CA35B6"/>
    <w:rsid w:val="00CB24F2"/>
    <w:rsid w:val="00CB4210"/>
    <w:rsid w:val="00CC03CD"/>
    <w:rsid w:val="00CC7400"/>
    <w:rsid w:val="00CF66A0"/>
    <w:rsid w:val="00D40D37"/>
    <w:rsid w:val="00D73F3E"/>
    <w:rsid w:val="00D83F8D"/>
    <w:rsid w:val="00D87986"/>
    <w:rsid w:val="00D92F83"/>
    <w:rsid w:val="00DB5041"/>
    <w:rsid w:val="00DE1184"/>
    <w:rsid w:val="00DE4671"/>
    <w:rsid w:val="00DF0EA7"/>
    <w:rsid w:val="00E23F86"/>
    <w:rsid w:val="00E62096"/>
    <w:rsid w:val="00E97EF5"/>
    <w:rsid w:val="00EA0E02"/>
    <w:rsid w:val="00ED7C6E"/>
    <w:rsid w:val="00EE432B"/>
    <w:rsid w:val="00F15B9D"/>
    <w:rsid w:val="00F21D3F"/>
    <w:rsid w:val="00F25E15"/>
    <w:rsid w:val="00F35DE4"/>
    <w:rsid w:val="00F42FCA"/>
    <w:rsid w:val="00F43AEF"/>
    <w:rsid w:val="00F662E4"/>
    <w:rsid w:val="00F96EE9"/>
    <w:rsid w:val="00FA6008"/>
    <w:rsid w:val="00FA76E8"/>
    <w:rsid w:val="00FD3A06"/>
    <w:rsid w:val="00FD4C04"/>
  </w:rsids>
  <m:mathPr>
    <m:mathFont m:val="Abadi MT Condensed Extra Bold"/>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0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ja-JP" w:bidi="ar-SA"/>
      </w:rPr>
    </w:rPrDefault>
    <w:pPrDefault>
      <w:pPr>
        <w:spacing w:line="408" w:lineRule="auto"/>
        <w:ind w:firstLine="1440"/>
      </w:pPr>
    </w:pPrDefault>
  </w:docDefaults>
  <w:latentStyles w:defLockedState="0" w:defUIPriority="99" w:defSemiHidden="1" w:defUnhideWhenUsed="1" w:defQFormat="0" w:count="276">
    <w:lsdException w:name="Normal" w:semiHidden="0" w:uiPriority="0" w:unhideWhenUsed="0" w:qFormat="1"/>
    <w:lsdException w:name="heading 1"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List" w:uiPriority="0" w:qFormat="1"/>
    <w:lsdException w:name="List 2" w:uiPriority="0" w:qFormat="1"/>
    <w:lsdException w:name="List 3" w:uiPriority="0" w:qFormat="1"/>
    <w:lsdException w:name="List 4" w:uiPriority="0" w:qFormat="1"/>
    <w:lsdException w:name="List 5" w:uiPriority="0" w:qFormat="1"/>
    <w:lsdException w:name="Title" w:uiPriority="10" w:qFormat="1"/>
    <w:lsdException w:name="Signature" w:qFormat="1"/>
    <w:lsdException w:name="Default Paragraph Font" w:uiPriority="1"/>
    <w:lsdException w:name="Subtitle" w:uiPriority="11" w:qFormat="1"/>
    <w:lsdException w:name="Date" w:qFormat="1"/>
    <w:lsdException w:name="Strong" w:uiPriority="9"/>
    <w:lsdException w:name="Emphasis" w:uiPriority="2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uiPriority="36"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7E7F61"/>
    <w:pPr>
      <w:spacing w:after="160" w:line="259" w:lineRule="auto"/>
      <w:ind w:firstLine="0"/>
    </w:pPr>
    <w:rPr>
      <w:rFonts w:eastAsiaTheme="minorHAnsi"/>
      <w:sz w:val="22"/>
      <w:szCs w:val="22"/>
      <w:lang w:eastAsia="en-US"/>
    </w:rPr>
  </w:style>
  <w:style w:type="paragraph" w:styleId="Heading1">
    <w:name w:val="heading 1"/>
    <w:basedOn w:val="Normal"/>
    <w:next w:val="Normal"/>
    <w:link w:val="Heading1Char"/>
    <w:uiPriority w:val="9"/>
    <w:semiHidden/>
    <w:unhideWhenUsed/>
    <w:rsid w:val="00387F9C"/>
    <w:pPr>
      <w:keepNext/>
      <w:keepLines/>
      <w:spacing w:after="0" w:line="408" w:lineRule="auto"/>
      <w:ind w:firstLine="1440"/>
      <w:outlineLvl w:val="0"/>
    </w:pPr>
    <w:rPr>
      <w:rFonts w:asciiTheme="majorHAnsi" w:eastAsiaTheme="majorEastAsia" w:hAnsiTheme="majorHAnsi" w:cstheme="majorBidi"/>
      <w:sz w:val="32"/>
      <w:szCs w:val="32"/>
      <w:lang w:eastAsia="ja-JP"/>
    </w:rPr>
  </w:style>
  <w:style w:type="paragraph" w:styleId="Heading2">
    <w:name w:val="heading 2"/>
    <w:basedOn w:val="Normal"/>
    <w:next w:val="Normal"/>
    <w:link w:val="Heading2Char"/>
    <w:uiPriority w:val="9"/>
    <w:semiHidden/>
    <w:unhideWhenUsed/>
    <w:rsid w:val="00387F9C"/>
    <w:pPr>
      <w:keepNext/>
      <w:keepLines/>
      <w:spacing w:after="0" w:line="408" w:lineRule="auto"/>
      <w:ind w:firstLine="1440"/>
      <w:outlineLvl w:val="1"/>
    </w:pPr>
    <w:rPr>
      <w:rFonts w:asciiTheme="majorHAnsi" w:eastAsiaTheme="majorEastAsia" w:hAnsiTheme="majorHAnsi" w:cstheme="majorBidi"/>
      <w:sz w:val="26"/>
      <w:szCs w:val="26"/>
      <w:lang w:eastAsia="ja-JP"/>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er">
    <w:name w:val="footer"/>
    <w:basedOn w:val="Normal"/>
    <w:link w:val="FooterChar"/>
    <w:uiPriority w:val="2"/>
    <w:qFormat/>
    <w:rsid w:val="00387F9C"/>
    <w:pPr>
      <w:spacing w:after="0" w:line="204" w:lineRule="auto"/>
    </w:pPr>
    <w:rPr>
      <w:rFonts w:eastAsiaTheme="minorEastAsia"/>
      <w:caps/>
      <w:sz w:val="20"/>
      <w:szCs w:val="20"/>
      <w:lang w:eastAsia="ja-JP"/>
    </w:rPr>
  </w:style>
  <w:style w:type="character" w:customStyle="1" w:styleId="FooterChar">
    <w:name w:val="Footer Char"/>
    <w:basedOn w:val="DefaultParagraphFont"/>
    <w:link w:val="Footer"/>
    <w:uiPriority w:val="2"/>
    <w:rsid w:val="00387F9C"/>
    <w:rPr>
      <w:caps/>
    </w:rPr>
  </w:style>
  <w:style w:type="table" w:styleId="TableGrid">
    <w:name w:val="Table Grid"/>
    <w:basedOn w:val="TableNormal"/>
    <w:uiPriority w:val="39"/>
    <w:rsid w:val="00387F9C"/>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ties">
    <w:name w:val="Parties"/>
    <w:basedOn w:val="Normal"/>
    <w:link w:val="PartiesChar"/>
    <w:uiPriority w:val="1"/>
    <w:qFormat/>
    <w:rsid w:val="00387F9C"/>
    <w:pPr>
      <w:spacing w:after="180" w:line="204" w:lineRule="auto"/>
    </w:pPr>
    <w:rPr>
      <w:rFonts w:asciiTheme="majorHAnsi" w:eastAsiaTheme="majorEastAsia" w:hAnsiTheme="majorHAnsi" w:cstheme="majorBidi"/>
      <w:caps/>
      <w:sz w:val="20"/>
      <w:szCs w:val="20"/>
      <w:lang w:eastAsia="ja-JP"/>
    </w:rPr>
  </w:style>
  <w:style w:type="paragraph" w:customStyle="1" w:styleId="Pleadingtitle">
    <w:name w:val="Pleading title"/>
    <w:basedOn w:val="Normal"/>
    <w:link w:val="PleadingtitleChar"/>
    <w:uiPriority w:val="1"/>
    <w:qFormat/>
    <w:rsid w:val="00387F9C"/>
    <w:pPr>
      <w:spacing w:after="0" w:line="204" w:lineRule="auto"/>
    </w:pPr>
    <w:rPr>
      <w:rFonts w:eastAsiaTheme="minorEastAsia"/>
      <w:caps/>
      <w:sz w:val="20"/>
      <w:szCs w:val="20"/>
      <w:lang w:eastAsia="ja-JP"/>
    </w:rPr>
  </w:style>
  <w:style w:type="character" w:customStyle="1" w:styleId="PleadingtitleChar">
    <w:name w:val="Pleading title Char"/>
    <w:basedOn w:val="DefaultParagraphFont"/>
    <w:link w:val="Pleadingtitle"/>
    <w:uiPriority w:val="1"/>
    <w:rsid w:val="00387F9C"/>
    <w:rPr>
      <w:caps/>
    </w:rPr>
  </w:style>
  <w:style w:type="character" w:customStyle="1" w:styleId="PartiesChar">
    <w:name w:val="Parties Char"/>
    <w:basedOn w:val="DefaultParagraphFont"/>
    <w:link w:val="Parties"/>
    <w:uiPriority w:val="1"/>
    <w:rsid w:val="00387F9C"/>
    <w:rPr>
      <w:rFonts w:asciiTheme="majorHAnsi" w:eastAsiaTheme="majorEastAsia" w:hAnsiTheme="majorHAnsi" w:cstheme="majorBidi"/>
      <w:caps/>
    </w:rPr>
  </w:style>
  <w:style w:type="character" w:styleId="PlaceholderText">
    <w:name w:val="Placeholder Text"/>
    <w:basedOn w:val="DefaultParagraphFont"/>
    <w:uiPriority w:val="99"/>
    <w:semiHidden/>
    <w:rsid w:val="00387F9C"/>
    <w:rPr>
      <w:color w:val="808080"/>
    </w:rPr>
  </w:style>
  <w:style w:type="paragraph" w:customStyle="1" w:styleId="CourtName">
    <w:name w:val="Court Name"/>
    <w:basedOn w:val="Normal"/>
    <w:link w:val="CourtNameChar"/>
    <w:uiPriority w:val="1"/>
    <w:qFormat/>
    <w:rsid w:val="00387F9C"/>
    <w:pPr>
      <w:spacing w:before="200" w:after="400" w:line="204" w:lineRule="auto"/>
      <w:contextualSpacing/>
      <w:jc w:val="center"/>
    </w:pPr>
    <w:rPr>
      <w:rFonts w:eastAsiaTheme="minorEastAsia"/>
      <w:caps/>
      <w:sz w:val="20"/>
      <w:szCs w:val="20"/>
      <w:lang w:eastAsia="ja-JP"/>
    </w:rPr>
  </w:style>
  <w:style w:type="character" w:customStyle="1" w:styleId="Heading1Char">
    <w:name w:val="Heading 1 Char"/>
    <w:basedOn w:val="DefaultParagraphFont"/>
    <w:link w:val="Heading1"/>
    <w:uiPriority w:val="9"/>
    <w:semiHidden/>
    <w:rsid w:val="00387F9C"/>
    <w:rPr>
      <w:rFonts w:asciiTheme="majorHAnsi" w:eastAsiaTheme="majorEastAsia" w:hAnsiTheme="majorHAnsi" w:cstheme="majorBidi"/>
      <w:sz w:val="32"/>
      <w:szCs w:val="32"/>
    </w:rPr>
  </w:style>
  <w:style w:type="paragraph" w:customStyle="1" w:styleId="AttorneyName">
    <w:name w:val="Attorney Name"/>
    <w:basedOn w:val="Normal"/>
    <w:link w:val="AttorneyNameChar"/>
    <w:uiPriority w:val="1"/>
    <w:qFormat/>
    <w:rsid w:val="00387F9C"/>
    <w:pPr>
      <w:spacing w:after="0" w:line="204" w:lineRule="auto"/>
      <w:contextualSpacing/>
    </w:pPr>
    <w:rPr>
      <w:rFonts w:eastAsiaTheme="minorEastAsia"/>
      <w:sz w:val="20"/>
      <w:szCs w:val="20"/>
      <w:lang w:eastAsia="ja-JP"/>
    </w:rPr>
  </w:style>
  <w:style w:type="paragraph" w:customStyle="1" w:styleId="LineNumbers">
    <w:name w:val="Line Numbers"/>
    <w:basedOn w:val="Normal"/>
    <w:uiPriority w:val="1"/>
    <w:qFormat/>
    <w:rsid w:val="00387F9C"/>
    <w:pPr>
      <w:spacing w:after="0" w:line="408" w:lineRule="auto"/>
      <w:jc w:val="right"/>
    </w:pPr>
    <w:rPr>
      <w:rFonts w:eastAsiaTheme="minorEastAsia"/>
      <w:sz w:val="20"/>
      <w:szCs w:val="20"/>
      <w:lang w:eastAsia="ja-JP"/>
    </w:rPr>
  </w:style>
  <w:style w:type="paragraph" w:customStyle="1" w:styleId="CaseNo">
    <w:name w:val="Case No."/>
    <w:basedOn w:val="Normal"/>
    <w:link w:val="CaseNoChar"/>
    <w:uiPriority w:val="1"/>
    <w:qFormat/>
    <w:rsid w:val="00387F9C"/>
    <w:pPr>
      <w:spacing w:after="540" w:line="204" w:lineRule="auto"/>
    </w:pPr>
    <w:rPr>
      <w:rFonts w:eastAsiaTheme="minorEastAsia"/>
      <w:sz w:val="20"/>
      <w:szCs w:val="20"/>
      <w:lang w:eastAsia="ja-JP"/>
    </w:rPr>
  </w:style>
  <w:style w:type="paragraph" w:styleId="BalloonText">
    <w:name w:val="Balloon Text"/>
    <w:basedOn w:val="Normal"/>
    <w:link w:val="BalloonTextChar"/>
    <w:uiPriority w:val="99"/>
    <w:semiHidden/>
    <w:unhideWhenUsed/>
    <w:rsid w:val="00387F9C"/>
    <w:pPr>
      <w:spacing w:after="0" w:line="240" w:lineRule="auto"/>
      <w:ind w:firstLine="1440"/>
    </w:pPr>
    <w:rPr>
      <w:rFonts w:ascii="Tahoma" w:eastAsiaTheme="minorEastAsia" w:hAnsi="Tahoma" w:cs="Tahoma"/>
      <w:sz w:val="16"/>
      <w:szCs w:val="16"/>
      <w:lang w:eastAsia="ja-JP"/>
    </w:rPr>
  </w:style>
  <w:style w:type="character" w:customStyle="1" w:styleId="BalloonTextChar">
    <w:name w:val="Balloon Text Char"/>
    <w:basedOn w:val="DefaultParagraphFont"/>
    <w:link w:val="BalloonText"/>
    <w:uiPriority w:val="99"/>
    <w:semiHidden/>
    <w:rsid w:val="00387F9C"/>
    <w:rPr>
      <w:rFonts w:ascii="Tahoma" w:eastAsia="Times New Roman" w:hAnsi="Tahoma" w:cs="Tahoma"/>
      <w:sz w:val="16"/>
      <w:szCs w:val="16"/>
    </w:rPr>
  </w:style>
  <w:style w:type="character" w:customStyle="1" w:styleId="Heading2Char">
    <w:name w:val="Heading 2 Char"/>
    <w:basedOn w:val="DefaultParagraphFont"/>
    <w:link w:val="Heading2"/>
    <w:uiPriority w:val="9"/>
    <w:semiHidden/>
    <w:rsid w:val="00387F9C"/>
    <w:rPr>
      <w:rFonts w:asciiTheme="majorHAnsi" w:eastAsiaTheme="majorEastAsia" w:hAnsiTheme="majorHAnsi" w:cstheme="majorBidi"/>
      <w:sz w:val="26"/>
      <w:szCs w:val="26"/>
    </w:rPr>
  </w:style>
  <w:style w:type="character" w:customStyle="1" w:styleId="AttorneyNameChar">
    <w:name w:val="Attorney Name Char"/>
    <w:basedOn w:val="DefaultParagraphFont"/>
    <w:link w:val="AttorneyName"/>
    <w:uiPriority w:val="1"/>
    <w:rsid w:val="00387F9C"/>
  </w:style>
  <w:style w:type="character" w:customStyle="1" w:styleId="CourtNameChar">
    <w:name w:val="Court Name Char"/>
    <w:basedOn w:val="DefaultParagraphFont"/>
    <w:link w:val="CourtName"/>
    <w:uiPriority w:val="1"/>
    <w:rsid w:val="00387F9C"/>
    <w:rPr>
      <w:caps/>
    </w:rPr>
  </w:style>
  <w:style w:type="character" w:customStyle="1" w:styleId="CaseNoChar">
    <w:name w:val="Case No. Char"/>
    <w:basedOn w:val="DefaultParagraphFont"/>
    <w:link w:val="CaseNo"/>
    <w:uiPriority w:val="1"/>
    <w:rsid w:val="00387F9C"/>
  </w:style>
  <w:style w:type="paragraph" w:styleId="Header">
    <w:name w:val="header"/>
    <w:basedOn w:val="Normal"/>
    <w:link w:val="HeaderChar"/>
    <w:uiPriority w:val="99"/>
    <w:unhideWhenUsed/>
    <w:rsid w:val="00387F9C"/>
    <w:pPr>
      <w:tabs>
        <w:tab w:val="center" w:pos="4680"/>
        <w:tab w:val="right" w:pos="9360"/>
      </w:tabs>
      <w:spacing w:after="0" w:line="240" w:lineRule="auto"/>
      <w:ind w:firstLine="1440"/>
    </w:pPr>
    <w:rPr>
      <w:rFonts w:eastAsiaTheme="minorEastAsia"/>
      <w:sz w:val="20"/>
      <w:szCs w:val="20"/>
      <w:lang w:eastAsia="ja-JP"/>
    </w:rPr>
  </w:style>
  <w:style w:type="character" w:customStyle="1" w:styleId="HeaderChar">
    <w:name w:val="Header Char"/>
    <w:basedOn w:val="DefaultParagraphFont"/>
    <w:link w:val="Header"/>
    <w:uiPriority w:val="99"/>
    <w:rsid w:val="00387F9C"/>
    <w:rPr>
      <w:rFonts w:eastAsia="Times New Roman" w:cs="Times New Roman"/>
      <w:sz w:val="20"/>
      <w:szCs w:val="20"/>
    </w:rPr>
  </w:style>
  <w:style w:type="paragraph" w:styleId="NoSpacing">
    <w:name w:val="No Spacing"/>
    <w:uiPriority w:val="1"/>
    <w:unhideWhenUsed/>
    <w:qFormat/>
    <w:rsid w:val="00387F9C"/>
    <w:pPr>
      <w:widowControl w:val="0"/>
      <w:spacing w:line="204" w:lineRule="auto"/>
      <w:ind w:firstLine="0"/>
    </w:pPr>
    <w:rPr>
      <w:rFonts w:eastAsia="Times New Roman" w:cs="Times New Roman"/>
    </w:rPr>
  </w:style>
  <w:style w:type="paragraph" w:styleId="Date">
    <w:name w:val="Date"/>
    <w:basedOn w:val="Normal"/>
    <w:next w:val="Normal"/>
    <w:link w:val="DateChar"/>
    <w:uiPriority w:val="1"/>
    <w:unhideWhenUsed/>
    <w:qFormat/>
    <w:rsid w:val="00387F9C"/>
    <w:pPr>
      <w:spacing w:after="300" w:line="408" w:lineRule="auto"/>
      <w:ind w:firstLine="1440"/>
    </w:pPr>
    <w:rPr>
      <w:rFonts w:eastAsiaTheme="minorEastAsia"/>
      <w:sz w:val="20"/>
      <w:szCs w:val="20"/>
      <w:lang w:eastAsia="ja-JP"/>
    </w:rPr>
  </w:style>
  <w:style w:type="character" w:customStyle="1" w:styleId="DateChar">
    <w:name w:val="Date Char"/>
    <w:basedOn w:val="DefaultParagraphFont"/>
    <w:link w:val="Date"/>
    <w:uiPriority w:val="1"/>
    <w:rsid w:val="00387F9C"/>
  </w:style>
  <w:style w:type="paragraph" w:customStyle="1" w:styleId="Standard">
    <w:name w:val="Standard"/>
    <w:rsid w:val="006612D1"/>
    <w:pPr>
      <w:widowControl w:val="0"/>
      <w:suppressAutoHyphens/>
      <w:autoSpaceDN w:val="0"/>
      <w:spacing w:line="240" w:lineRule="auto"/>
      <w:ind w:firstLine="0"/>
      <w:textAlignment w:val="baseline"/>
    </w:pPr>
    <w:rPr>
      <w:rFonts w:ascii="Times New Roman" w:eastAsia="SimSun" w:hAnsi="Times New Roman" w:cs="Mangal"/>
      <w:kern w:val="3"/>
      <w:sz w:val="24"/>
      <w:szCs w:val="24"/>
      <w:lang w:eastAsia="zh-CN" w:bidi="hi-IN"/>
    </w:rPr>
  </w:style>
  <w:style w:type="paragraph" w:styleId="ListParagraph">
    <w:name w:val="List Paragraph"/>
    <w:basedOn w:val="Normal"/>
    <w:uiPriority w:val="34"/>
    <w:unhideWhenUsed/>
    <w:qFormat/>
    <w:rsid w:val="00AE7DBD"/>
    <w:pPr>
      <w:spacing w:after="0" w:line="408" w:lineRule="auto"/>
      <w:ind w:left="720" w:firstLine="1440"/>
      <w:contextualSpacing/>
    </w:pPr>
    <w:rPr>
      <w:rFonts w:eastAsiaTheme="minorEastAsia"/>
      <w:sz w:val="20"/>
      <w:szCs w:val="20"/>
      <w:lang w:eastAsia="ja-JP"/>
    </w:rPr>
  </w:style>
  <w:style w:type="character" w:customStyle="1" w:styleId="outlineheading1">
    <w:name w:val="outline_heading_1"/>
    <w:basedOn w:val="DefaultParagraphFont"/>
    <w:rsid w:val="00D87986"/>
  </w:style>
  <w:style w:type="character" w:styleId="Hyperlink">
    <w:name w:val="Hyperlink"/>
    <w:basedOn w:val="DefaultParagraphFont"/>
    <w:uiPriority w:val="99"/>
    <w:semiHidden/>
    <w:unhideWhenUsed/>
    <w:rsid w:val="00D87986"/>
    <w:rPr>
      <w:color w:val="0000FF"/>
      <w:u w:val="single"/>
    </w:rPr>
  </w:style>
  <w:style w:type="character" w:customStyle="1" w:styleId="annotation">
    <w:name w:val="annotation"/>
    <w:basedOn w:val="DefaultParagraphFont"/>
    <w:rsid w:val="00D87986"/>
  </w:style>
  <w:style w:type="character" w:customStyle="1" w:styleId="outlineheading2">
    <w:name w:val="outline_heading_2"/>
    <w:basedOn w:val="DefaultParagraphFont"/>
    <w:rsid w:val="00D87986"/>
  </w:style>
  <w:style w:type="paragraph" w:styleId="FootnoteText">
    <w:name w:val="footnote text"/>
    <w:basedOn w:val="Normal"/>
    <w:link w:val="FootnoteTextChar"/>
    <w:uiPriority w:val="99"/>
    <w:semiHidden/>
    <w:unhideWhenUsed/>
    <w:rsid w:val="00D8798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7986"/>
    <w:rPr>
      <w:rFonts w:eastAsiaTheme="minorHAnsi"/>
      <w:lang w:eastAsia="en-US"/>
    </w:rPr>
  </w:style>
  <w:style w:type="character" w:styleId="FootnoteReference">
    <w:name w:val="footnote reference"/>
    <w:basedOn w:val="DefaultParagraphFont"/>
    <w:uiPriority w:val="99"/>
    <w:semiHidden/>
    <w:unhideWhenUsed/>
    <w:rsid w:val="00D87986"/>
    <w:rPr>
      <w:vertAlign w:val="superscript"/>
    </w:rPr>
  </w:style>
  <w:style w:type="paragraph" w:styleId="NormalWeb">
    <w:name w:val="Normal (Web)"/>
    <w:basedOn w:val="Normal"/>
    <w:uiPriority w:val="99"/>
    <w:semiHidden/>
    <w:unhideWhenUsed/>
    <w:rsid w:val="0088261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62942624">
      <w:bodyDiv w:val="1"/>
      <w:marLeft w:val="0"/>
      <w:marRight w:val="0"/>
      <w:marTop w:val="0"/>
      <w:marBottom w:val="0"/>
      <w:divBdr>
        <w:top w:val="none" w:sz="0" w:space="0" w:color="auto"/>
        <w:left w:val="none" w:sz="0" w:space="0" w:color="auto"/>
        <w:bottom w:val="none" w:sz="0" w:space="0" w:color="auto"/>
        <w:right w:val="none" w:sz="0" w:space="0" w:color="auto"/>
      </w:divBdr>
    </w:div>
    <w:div w:id="1126504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whun_000\Desktop\Client%20Files\Jessica%20-%20ORS%20811.507\Conditional%20No%20Contest%20Plea%20Reserving%20the%20Right%20to%20Appeal%20-%20Jessica%20Hunking.dotx" TargetMode="External"/></Relationships>
</file>

<file path=word/theme/theme1.xml><?xml version="1.0" encoding="utf-8"?>
<a:theme xmlns:a="http://schemas.openxmlformats.org/drawingml/2006/main" name="Alphabet letters flash cards">
  <a:themeElements>
    <a:clrScheme name="Slipstream">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C98F21-B6CF-4F31-A377-031B34AE705A}">
  <ds:schemaRefs>
    <ds:schemaRef ds:uri="http://schemas.microsoft.com/sharepoint/v3/contenttype/forms"/>
  </ds:schemaRefs>
</ds:datastoreItem>
</file>

<file path=customXml/itemProps2.xml><?xml version="1.0" encoding="utf-8"?>
<ds:datastoreItem xmlns:ds="http://schemas.openxmlformats.org/officeDocument/2006/customXml" ds:itemID="{983FF339-25BA-4C4E-9A2F-C47167C3B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\Users\jwhun_000\Desktop\Client Files\Jessica - ORS 811.507\Conditional No Contest Plea Reserving the Right to Appeal - Jessica Hunking.dotx</Template>
  <TotalTime>1</TotalTime>
  <Pages>6</Pages>
  <Words>1002</Words>
  <Characters>5716</Characters>
  <Application>Microsoft Macintosh Word</Application>
  <DocSecurity>0</DocSecurity>
  <Lines>47</Lines>
  <Paragraphs>11</Paragraphs>
  <ScaleCrop>false</ScaleCrop>
  <HeadingPairs>
    <vt:vector size="2" baseType="variant">
      <vt:variant>
        <vt:lpstr>Title</vt:lpstr>
      </vt:variant>
      <vt:variant>
        <vt:i4>1</vt:i4>
      </vt:variant>
    </vt:vector>
  </HeadingPairs>
  <TitlesOfParts>
    <vt:vector size="1" baseType="lpstr">
      <vt:lpstr>demurrer &amp; Certificate of service</vt:lpstr>
    </vt:vector>
  </TitlesOfParts>
  <Company/>
  <LinksUpToDate>false</LinksUpToDate>
  <CharactersWithSpaces>7019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demurrer &amp; Certificate of service</dc:title>
  <dc:creator/>
  <cp:keywords/>
  <cp:lastModifiedBy/>
  <cp:revision>2</cp:revision>
  <dcterms:created xsi:type="dcterms:W3CDTF">2020-06-16T18:35:00Z</dcterms:created>
  <dcterms:modified xsi:type="dcterms:W3CDTF">2020-06-16T18:35:00Z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TC039920429991</vt:lpwstr>
  </property>
</Properties>
</file>